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718" w:rsidRDefault="00CF5718" w:rsidP="008D4B0E">
      <w:pPr>
        <w:rPr>
          <w:b/>
          <w:sz w:val="28"/>
        </w:rPr>
      </w:pPr>
      <w:r w:rsidRPr="00CF5718">
        <w:rPr>
          <w:b/>
          <w:sz w:val="28"/>
        </w:rPr>
        <w:t>Assessing energ</w:t>
      </w:r>
      <w:bookmarkStart w:id="0" w:name="_GoBack"/>
      <w:bookmarkEnd w:id="0"/>
      <w:r w:rsidRPr="00CF5718">
        <w:rPr>
          <w:b/>
          <w:sz w:val="28"/>
        </w:rPr>
        <w:t xml:space="preserve">y use and </w:t>
      </w:r>
      <w:r w:rsidR="008F57D4">
        <w:rPr>
          <w:b/>
          <w:sz w:val="28"/>
        </w:rPr>
        <w:t>overheating risk</w:t>
      </w:r>
      <w:r w:rsidRPr="00CF5718">
        <w:rPr>
          <w:b/>
          <w:sz w:val="28"/>
        </w:rPr>
        <w:t xml:space="preserve"> </w:t>
      </w:r>
      <w:r w:rsidR="0085312D">
        <w:rPr>
          <w:b/>
          <w:sz w:val="28"/>
        </w:rPr>
        <w:t>in</w:t>
      </w:r>
      <w:r w:rsidR="0085312D" w:rsidRPr="00CF5718">
        <w:rPr>
          <w:b/>
          <w:sz w:val="28"/>
        </w:rPr>
        <w:t xml:space="preserve"> </w:t>
      </w:r>
      <w:r w:rsidRPr="00CF5718">
        <w:rPr>
          <w:b/>
          <w:sz w:val="28"/>
        </w:rPr>
        <w:t>net zero energy dwellings in</w:t>
      </w:r>
      <w:r w:rsidR="00DD4DD9">
        <w:rPr>
          <w:b/>
          <w:sz w:val="28"/>
        </w:rPr>
        <w:t xml:space="preserve"> UK </w:t>
      </w:r>
    </w:p>
    <w:p w:rsidR="008D4B0E" w:rsidRDefault="008D4B0E" w:rsidP="008D4B0E">
      <w:r>
        <w:t>Rajat Gupta</w:t>
      </w:r>
      <w:r w:rsidR="00D16C92">
        <w:t>*</w:t>
      </w:r>
      <w:r>
        <w:t xml:space="preserve"> and Matt Gregg</w:t>
      </w:r>
    </w:p>
    <w:p w:rsidR="0084473F" w:rsidRPr="002A1F2B" w:rsidRDefault="0084473F" w:rsidP="0084473F">
      <w:pPr>
        <w:rPr>
          <w:rFonts w:ascii="Arial" w:hAnsi="Arial" w:cs="Arial"/>
        </w:rPr>
      </w:pPr>
      <w:r w:rsidRPr="001D63DF">
        <w:t>Low Carbon Building Group, Oxford Institute for Sustainable Development, School of</w:t>
      </w:r>
      <w:r w:rsidRPr="002A1F2B">
        <w:rPr>
          <w:rFonts w:ascii="Arial" w:hAnsi="Arial" w:cs="Arial"/>
        </w:rPr>
        <w:t xml:space="preserve"> </w:t>
      </w:r>
      <w:r w:rsidRPr="001D63DF">
        <w:t>Architecture, Oxford Brookes University, Oxford, OX3 0BP</w:t>
      </w:r>
      <w:r w:rsidR="0038218A">
        <w:t>,</w:t>
      </w:r>
      <w:r w:rsidR="00FF48ED">
        <w:t xml:space="preserve"> </w:t>
      </w:r>
      <w:r w:rsidRPr="001D63DF">
        <w:t>UK</w:t>
      </w:r>
      <w:r w:rsidRPr="002A1F2B">
        <w:rPr>
          <w:rFonts w:ascii="Arial" w:hAnsi="Arial" w:cs="Arial"/>
        </w:rPr>
        <w:t xml:space="preserve"> </w:t>
      </w:r>
    </w:p>
    <w:p w:rsidR="0084473F" w:rsidRPr="002A1F2B" w:rsidRDefault="00761162" w:rsidP="0084473F">
      <w:pPr>
        <w:rPr>
          <w:rFonts w:ascii="Arial" w:hAnsi="Arial" w:cs="Arial"/>
        </w:rPr>
      </w:pPr>
      <w:hyperlink r:id="rId9" w:history="1">
        <w:r w:rsidR="0084473F" w:rsidRPr="004D703F">
          <w:rPr>
            <w:rStyle w:val="Hyperlink"/>
            <w:rFonts w:ascii="Arial" w:hAnsi="Arial" w:cs="Arial"/>
          </w:rPr>
          <w:t>*rgupta@brookes.ac.uk</w:t>
        </w:r>
      </w:hyperlink>
      <w:r w:rsidR="0084473F">
        <w:rPr>
          <w:rFonts w:ascii="Arial" w:hAnsi="Arial" w:cs="Arial"/>
        </w:rPr>
        <w:t xml:space="preserve"> </w:t>
      </w:r>
    </w:p>
    <w:p w:rsidR="008D4B0E" w:rsidRDefault="005454E2" w:rsidP="008D4B0E">
      <w:pPr>
        <w:pStyle w:val="Heading1"/>
      </w:pPr>
      <w:r>
        <w:t>Abstract</w:t>
      </w:r>
    </w:p>
    <w:p w:rsidR="00CF5718" w:rsidRDefault="00CF5718" w:rsidP="00CF5718">
      <w:r>
        <w:t>This paper presents</w:t>
      </w:r>
      <w:r w:rsidR="00E132D7">
        <w:t xml:space="preserve"> the</w:t>
      </w:r>
      <w:r>
        <w:t xml:space="preserve"> </w:t>
      </w:r>
      <w:r w:rsidR="00853195">
        <w:t>methodolog</w:t>
      </w:r>
      <w:r w:rsidR="002C1591">
        <w:t>ical approach</w:t>
      </w:r>
      <w:r w:rsidR="00853195">
        <w:t xml:space="preserve"> and </w:t>
      </w:r>
      <w:r w:rsidR="00E132D7">
        <w:t xml:space="preserve">findings </w:t>
      </w:r>
      <w:r w:rsidR="0010519F">
        <w:t>of</w:t>
      </w:r>
      <w:r w:rsidR="00E132D7">
        <w:t xml:space="preserve"> a simulation study </w:t>
      </w:r>
      <w:r>
        <w:t>of advanced energy conservation</w:t>
      </w:r>
      <w:r w:rsidR="0010519F">
        <w:t>,</w:t>
      </w:r>
      <w:r>
        <w:t xml:space="preserve"> generation and management technologies applied to two case study dwellings in </w:t>
      </w:r>
      <w:r w:rsidR="00773579">
        <w:t xml:space="preserve">the </w:t>
      </w:r>
      <w:r>
        <w:t>UK, so as to achieve</w:t>
      </w:r>
      <w:r w:rsidR="00773579">
        <w:t xml:space="preserve"> net zero energy (NZE) target</w:t>
      </w:r>
      <w:r w:rsidR="00C77A45">
        <w:t xml:space="preserve"> that </w:t>
      </w:r>
      <w:r>
        <w:t>includes a reduction o</w:t>
      </w:r>
      <w:r w:rsidR="00853195">
        <w:t>f net regulated energy (</w:t>
      </w:r>
      <w:r w:rsidR="00520420">
        <w:t>HVAC</w:t>
      </w:r>
      <w:r>
        <w:t xml:space="preserve">) </w:t>
      </w:r>
      <w:r w:rsidR="00853195">
        <w:t>to 0</w:t>
      </w:r>
      <w:r w:rsidRPr="00A725D1">
        <w:t>k</w:t>
      </w:r>
      <w:r w:rsidR="007A2A36">
        <w:t>W</w:t>
      </w:r>
      <w:r w:rsidRPr="00A725D1">
        <w:t>h/m</w:t>
      </w:r>
      <w:r w:rsidRPr="00A725D1">
        <w:rPr>
          <w:vertAlign w:val="superscript"/>
        </w:rPr>
        <w:t>2</w:t>
      </w:r>
      <w:r w:rsidR="003C7378" w:rsidRPr="00A725D1">
        <w:t xml:space="preserve"> per year </w:t>
      </w:r>
      <w:r w:rsidR="003C7378">
        <w:t xml:space="preserve">and </w:t>
      </w:r>
      <w:r w:rsidR="00D92D50">
        <w:t xml:space="preserve">energy </w:t>
      </w:r>
      <w:r>
        <w:t>generation of at least 50 k</w:t>
      </w:r>
      <w:r w:rsidR="008C496C">
        <w:t>W</w:t>
      </w:r>
      <w:r>
        <w:t>h/m</w:t>
      </w:r>
      <w:r w:rsidRPr="00773579">
        <w:rPr>
          <w:vertAlign w:val="superscript"/>
        </w:rPr>
        <w:t>2</w:t>
      </w:r>
      <w:r w:rsidR="003C7378">
        <w:t xml:space="preserve"> per year.</w:t>
      </w:r>
      <w:r>
        <w:t xml:space="preserve"> The performance of </w:t>
      </w:r>
      <w:r w:rsidR="003C7378">
        <w:t xml:space="preserve">the dwellings are </w:t>
      </w:r>
      <w:r w:rsidR="00B17BF2">
        <w:t xml:space="preserve">also </w:t>
      </w:r>
      <w:r w:rsidR="003C7378">
        <w:t xml:space="preserve">tested for </w:t>
      </w:r>
      <w:r w:rsidR="000B374E">
        <w:t xml:space="preserve">a </w:t>
      </w:r>
      <w:r w:rsidR="003C7378">
        <w:t xml:space="preserve">change in energy </w:t>
      </w:r>
      <w:r w:rsidR="007E68E9">
        <w:t xml:space="preserve">use </w:t>
      </w:r>
      <w:r w:rsidR="003C7378">
        <w:t xml:space="preserve">and </w:t>
      </w:r>
      <w:r w:rsidR="00AB6EC2">
        <w:t xml:space="preserve">risk of </w:t>
      </w:r>
      <w:r w:rsidR="007E68E9">
        <w:t xml:space="preserve">summertime </w:t>
      </w:r>
      <w:r w:rsidR="003C7378">
        <w:t xml:space="preserve">overheating in </w:t>
      </w:r>
      <w:r>
        <w:t>future cl</w:t>
      </w:r>
      <w:r w:rsidR="00853195">
        <w:t xml:space="preserve">imates </w:t>
      </w:r>
      <w:r w:rsidR="006E1A6F">
        <w:t>in the short (2030s), medium (2050s) and long term</w:t>
      </w:r>
      <w:r w:rsidR="007E68E9">
        <w:t xml:space="preserve"> </w:t>
      </w:r>
      <w:r w:rsidR="006E1A6F">
        <w:t>(</w:t>
      </w:r>
      <w:r w:rsidR="00853195">
        <w:t>2080s</w:t>
      </w:r>
      <w:r w:rsidR="006E1A6F">
        <w:t>)</w:t>
      </w:r>
      <w:r w:rsidR="00853195">
        <w:t>.</w:t>
      </w:r>
    </w:p>
    <w:p w:rsidR="00CF5718" w:rsidRDefault="00CF5718" w:rsidP="008D4B0E">
      <w:r>
        <w:t xml:space="preserve">The findings indicate that to meet the NZE targets, regulated loads need to reduce by about half (over current Building Regulations) </w:t>
      </w:r>
      <w:r w:rsidR="00435A2B">
        <w:t xml:space="preserve">with </w:t>
      </w:r>
      <w:r>
        <w:t>community (rather than building-level) renewables play</w:t>
      </w:r>
      <w:r w:rsidR="00435A2B">
        <w:t>ing</w:t>
      </w:r>
      <w:r>
        <w:t xml:space="preserve"> a major role. It is also found that the NZE targets</w:t>
      </w:r>
      <w:r w:rsidR="005F0B71">
        <w:t>, given current regulations,</w:t>
      </w:r>
      <w:r>
        <w:t xml:space="preserve"> are not particularly </w:t>
      </w:r>
      <w:r w:rsidR="005F0B71">
        <w:t>difficult to achieve in design with regard to</w:t>
      </w:r>
      <w:r>
        <w:t xml:space="preserve"> energy efficiency but are highly expectant with regard to renewable energy. </w:t>
      </w:r>
      <w:r w:rsidR="00853195">
        <w:t xml:space="preserve">Further, </w:t>
      </w:r>
      <w:r>
        <w:t xml:space="preserve">summertime overheating </w:t>
      </w:r>
      <w:r w:rsidR="00853195">
        <w:t>is projected to be a risk</w:t>
      </w:r>
      <w:r>
        <w:t xml:space="preserve"> for net zero energy dwellings by </w:t>
      </w:r>
      <w:r w:rsidR="00853195">
        <w:t xml:space="preserve">the 2050s. </w:t>
      </w:r>
      <w:r>
        <w:t xml:space="preserve">Despite this the regulated energy use of both dwellings is projected to reduce by </w:t>
      </w:r>
      <w:r w:rsidR="00982AA5">
        <w:t>11</w:t>
      </w:r>
      <w:r>
        <w:t>kWh/m</w:t>
      </w:r>
      <w:r w:rsidRPr="00773579">
        <w:rPr>
          <w:vertAlign w:val="superscript"/>
        </w:rPr>
        <w:t>2</w:t>
      </w:r>
      <w:r>
        <w:t>/</w:t>
      </w:r>
      <w:proofErr w:type="spellStart"/>
      <w:r>
        <w:t>yr</w:t>
      </w:r>
      <w:proofErr w:type="spellEnd"/>
      <w:r>
        <w:t>, accompanied by a small increase in</w:t>
      </w:r>
      <w:r w:rsidR="00853195">
        <w:t xml:space="preserve"> renewable generation (2</w:t>
      </w:r>
      <w:r>
        <w:t>kWh/m</w:t>
      </w:r>
      <w:r w:rsidRPr="00773579">
        <w:rPr>
          <w:vertAlign w:val="superscript"/>
        </w:rPr>
        <w:t>2</w:t>
      </w:r>
      <w:r>
        <w:t>/</w:t>
      </w:r>
      <w:proofErr w:type="spellStart"/>
      <w:r>
        <w:t>yr</w:t>
      </w:r>
      <w:proofErr w:type="spellEnd"/>
      <w:r>
        <w:t>).</w:t>
      </w:r>
    </w:p>
    <w:p w:rsidR="003D65F7" w:rsidRDefault="003D65F7" w:rsidP="003D65F7">
      <w:pPr>
        <w:pStyle w:val="Heading1"/>
      </w:pPr>
      <w:r>
        <w:t>Keywords</w:t>
      </w:r>
    </w:p>
    <w:p w:rsidR="00321684" w:rsidRDefault="00FD5192">
      <w:pPr>
        <w:rPr>
          <w:rFonts w:asciiTheme="majorHAnsi" w:eastAsiaTheme="majorEastAsia" w:hAnsiTheme="majorHAnsi" w:cstheme="majorBidi"/>
          <w:b/>
          <w:bCs/>
          <w:color w:val="365F91" w:themeColor="accent1" w:themeShade="BF"/>
          <w:sz w:val="28"/>
          <w:szCs w:val="28"/>
        </w:rPr>
      </w:pPr>
      <w:r>
        <w:t>E</w:t>
      </w:r>
      <w:r w:rsidRPr="00FD5192">
        <w:t>nergy efficiency, net zero energy building, simulation, climate adaptation, overheating</w:t>
      </w:r>
      <w:r w:rsidR="00321684">
        <w:br w:type="page"/>
      </w:r>
    </w:p>
    <w:p w:rsidR="008D4B0E" w:rsidRDefault="002B007B" w:rsidP="008D4B0E">
      <w:pPr>
        <w:pStyle w:val="Heading1"/>
      </w:pPr>
      <w:r>
        <w:lastRenderedPageBreak/>
        <w:t>1.</w:t>
      </w:r>
      <w:r>
        <w:tab/>
      </w:r>
      <w:r w:rsidR="008D4B0E">
        <w:t>Introduction</w:t>
      </w:r>
    </w:p>
    <w:p w:rsidR="008D4B0E" w:rsidRDefault="008D4B0E" w:rsidP="008D4B0E">
      <w:r>
        <w:t xml:space="preserve">Buildings are central to both </w:t>
      </w:r>
      <w:r w:rsidR="008F48A0">
        <w:t>UK and EU</w:t>
      </w:r>
      <w:r>
        <w:t xml:space="preserve"> energy efficiency policy. Improving the energy performance of </w:t>
      </w:r>
      <w:r w:rsidR="008F48A0">
        <w:t xml:space="preserve">the </w:t>
      </w:r>
      <w:r>
        <w:t>UK</w:t>
      </w:r>
      <w:r w:rsidR="008F48A0">
        <w:t>’s</w:t>
      </w:r>
      <w:r>
        <w:t xml:space="preserve"> building stock is crucial, not only to achieve the EU's 2020 targets but also to meet </w:t>
      </w:r>
      <w:r w:rsidR="008F48A0">
        <w:t xml:space="preserve">the </w:t>
      </w:r>
      <w:r>
        <w:t>UK’s longer term climate change target of 80% CO</w:t>
      </w:r>
      <w:r w:rsidRPr="008F48A0">
        <w:rPr>
          <w:vertAlign w:val="subscript"/>
        </w:rPr>
        <w:t>2</w:t>
      </w:r>
      <w:r>
        <w:t xml:space="preserve"> emission reduction by 2050. The </w:t>
      </w:r>
      <w:r w:rsidR="008F48A0">
        <w:t xml:space="preserve">European Commission </w:t>
      </w:r>
      <w:r w:rsidR="008F48A0">
        <w:fldChar w:fldCharType="begin"/>
      </w:r>
      <w:r w:rsidR="008F48A0">
        <w:instrText xml:space="preserve"> ADDIN EN.CITE &lt;EndNote&gt;&lt;Cite&gt;&lt;Author&gt;EC&lt;/Author&gt;&lt;Year&gt;2015&lt;/Year&gt;&lt;RecNum&gt;238&lt;/RecNum&gt;&lt;DisplayText&gt;[1]&lt;/DisplayText&gt;&lt;record&gt;&lt;rec-number&gt;238&lt;/rec-number&gt;&lt;foreign-keys&gt;&lt;key app="EN" db-id="dtvfvp55j2tw0ned5ruxvv51zwdxaxr9wft0" timestamp="1492616352"&gt;238&lt;/key&gt;&lt;/foreign-keys&gt;&lt;ref-type name="Web Page"&gt;12&lt;/ref-type&gt;&lt;contributors&gt;&lt;authors&gt;&lt;author&gt;EC&lt;/author&gt;&lt;/authors&gt;&lt;/contributors&gt;&lt;titles&gt;&lt;title&gt;Europe 2020 targets&lt;/title&gt;&lt;secondary-title&gt;Europe 2020&lt;/secondary-title&gt;&lt;/titles&gt;&lt;volume&gt;2017&lt;/volume&gt;&lt;number&gt;19 April&lt;/number&gt;&lt;dates&gt;&lt;year&gt;2015&lt;/year&gt;&lt;/dates&gt;&lt;publisher&gt;European Commission&lt;/publisher&gt;&lt;urls&gt;&lt;related-urls&gt;&lt;url&gt;http://ec.europa.eu/europe2020/europe-2020-in-a-nutshell/targets/index_en.htm&lt;/url&gt;&lt;/related-urls&gt;&lt;/urls&gt;&lt;custom1&gt;2017&lt;/custom1&gt;&lt;custom2&gt;19 April&lt;/custom2&gt;&lt;/record&gt;&lt;/Cite&gt;&lt;/EndNote&gt;</w:instrText>
      </w:r>
      <w:r w:rsidR="008F48A0">
        <w:fldChar w:fldCharType="separate"/>
      </w:r>
      <w:r w:rsidR="008F48A0">
        <w:rPr>
          <w:noProof/>
        </w:rPr>
        <w:t>[1]</w:t>
      </w:r>
      <w:r w:rsidR="008F48A0">
        <w:fldChar w:fldCharType="end"/>
      </w:r>
      <w:r>
        <w:t xml:space="preserve"> outlines three specific targets to be met by 2020 (relative to 1990 </w:t>
      </w:r>
      <w:r w:rsidR="005D2662">
        <w:t>levels</w:t>
      </w:r>
      <w:r>
        <w:t>): reduce greenhouse gas emissions</w:t>
      </w:r>
      <w:r w:rsidR="005D2662">
        <w:t xml:space="preserve"> (GHG)</w:t>
      </w:r>
      <w:r>
        <w:t xml:space="preserve"> by 20%, increase energy efficiency by 20%, and increase contribution from renewable energy sources equivalent to 20% of final energy consump</w:t>
      </w:r>
      <w:r w:rsidR="008F48A0">
        <w:t>tion</w:t>
      </w:r>
      <w:r>
        <w:t>.</w:t>
      </w:r>
    </w:p>
    <w:p w:rsidR="0021571C" w:rsidRPr="0022024C" w:rsidRDefault="008D4B0E" w:rsidP="0021571C">
      <w:r>
        <w:t>A key element of the Energy Performance in Buildings Directive (EPBD) recast (Directive 2010/31/EU) is its requirements regarding nearly zero-energy building, which is defined as “a building that has very high energy performance</w:t>
      </w:r>
      <w:r w:rsidR="00956980">
        <w:t xml:space="preserve">…” </w:t>
      </w:r>
      <w:r>
        <w:t>and its nearly zero or very low amount of energy demand is provided by renewable energy systems, whi</w:t>
      </w:r>
      <w:r w:rsidR="00956980">
        <w:t xml:space="preserve">ch are either on-site or nearby </w:t>
      </w:r>
      <w:r w:rsidR="00956980">
        <w:fldChar w:fldCharType="begin"/>
      </w:r>
      <w:r w:rsidR="008276FF">
        <w:instrText xml:space="preserve"> ADDIN EN.CITE &lt;EndNote&gt;&lt;Cite&gt;&lt;Author&gt;Recast&lt;/Author&gt;&lt;Year&gt;2010&lt;/Year&gt;&lt;RecNum&gt;239&lt;/RecNum&gt;&lt;DisplayText&gt;[2]&lt;/DisplayText&gt;&lt;record&gt;&lt;rec-number&gt;239&lt;/rec-number&gt;&lt;foreign-keys&gt;&lt;key app="EN" db-id="dtvfvp55j2tw0ned5ruxvv51zwdxaxr9wft0" timestamp="1492617107"&gt;239&lt;/key&gt;&lt;/foreign-keys&gt;&lt;ref-type name="Journal Article"&gt;17&lt;/ref-type&gt;&lt;contributors&gt;&lt;authors&gt;&lt;author&gt;Recast, EPBD&lt;/author&gt;&lt;/authors&gt;&lt;/contributors&gt;&lt;titles&gt;&lt;title&gt;Directive 2010/31/EU of the European Parliament and of the Council of 19 May 2010 on the energy performance of buildings (recast)&lt;/title&gt;&lt;secondary-title&gt;Official Journal of the European Union&lt;/secondary-title&gt;&lt;/titles&gt;&lt;periodical&gt;&lt;full-title&gt;Official Journal of the European Union&lt;/full-title&gt;&lt;/periodical&gt;&lt;pages&gt;2010&lt;/pages&gt;&lt;volume&gt;18&lt;/volume&gt;&lt;number&gt;06&lt;/number&gt;&lt;dates&gt;&lt;year&gt;2010&lt;/year&gt;&lt;/dates&gt;&lt;urls&gt;&lt;related-urls&gt;&lt;url&gt;http://eur-lex.europa.eu/LexUriServ/LexUriServ.do?uri=OJ:L:2010:153:0013:0035:en:PDF&lt;/url&gt;&lt;/related-urls&gt;&lt;/urls&gt;&lt;/record&gt;&lt;/Cite&gt;&lt;/EndNote&gt;</w:instrText>
      </w:r>
      <w:r w:rsidR="00956980">
        <w:fldChar w:fldCharType="separate"/>
      </w:r>
      <w:r w:rsidR="00956980">
        <w:rPr>
          <w:noProof/>
        </w:rPr>
        <w:t>[2]</w:t>
      </w:r>
      <w:r w:rsidR="00956980">
        <w:fldChar w:fldCharType="end"/>
      </w:r>
      <w:r>
        <w:t xml:space="preserve">. Directive 2010/31/EU Article 9 requires that member states shall ensure that by 31 December 2020 all new buildings are nearly zero-energy buildings; and after 31 December 2018, new buildings occupied and owned by public authorities are nearly zero-energy. The EPBD nearly zero energy building definition, as described in Article 2, constitutes a ‘broad’ definition. The Directive lays down the end-results that must be achieved by every Member State. National authorities have to adapt their laws to meet these goals, but </w:t>
      </w:r>
      <w:r w:rsidR="00956980">
        <w:t xml:space="preserve">are free to decide how to do so </w:t>
      </w:r>
      <w:r w:rsidR="00956980">
        <w:fldChar w:fldCharType="begin"/>
      </w:r>
      <w:r w:rsidR="008276FF">
        <w:instrText xml:space="preserve"> ADDIN EN.CITE &lt;EndNote&gt;&lt;Cite&gt;&lt;Author&gt;Recast&lt;/Author&gt;&lt;Year&gt;2010&lt;/Year&gt;&lt;RecNum&gt;239&lt;/RecNum&gt;&lt;DisplayText&gt;[2]&lt;/DisplayText&gt;&lt;record&gt;&lt;rec-number&gt;239&lt;/rec-number&gt;&lt;foreign-keys&gt;&lt;key app="EN" db-id="dtvfvp55j2tw0ned5ruxvv51zwdxaxr9wft0" timestamp="1492617107"&gt;239&lt;/key&gt;&lt;/foreign-keys&gt;&lt;ref-type name="Journal Article"&gt;17&lt;/ref-type&gt;&lt;contributors&gt;&lt;authors&gt;&lt;author&gt;Recast, EPBD&lt;/author&gt;&lt;/authors&gt;&lt;/contributors&gt;&lt;titles&gt;&lt;title&gt;Directive 2010/31/EU of the European Parliament and of the Council of 19 May 2010 on the energy performance of buildings (recast)&lt;/title&gt;&lt;secondary-title&gt;Official Journal of the European Union&lt;/secondary-title&gt;&lt;/titles&gt;&lt;periodical&gt;&lt;full-title&gt;Official Journal of the European Union&lt;/full-title&gt;&lt;/periodical&gt;&lt;pages&gt;2010&lt;/pages&gt;&lt;volume&gt;18&lt;/volume&gt;&lt;number&gt;06&lt;/number&gt;&lt;dates&gt;&lt;year&gt;2010&lt;/year&gt;&lt;/dates&gt;&lt;urls&gt;&lt;related-urls&gt;&lt;url&gt;http://eur-lex.europa.eu/LexUriServ/LexUriServ.do?uri=OJ:L:2010:153:0013:0035:en:PDF&lt;/url&gt;&lt;/related-urls&gt;&lt;/urls&gt;&lt;/record&gt;&lt;/Cite&gt;&lt;/EndNote&gt;</w:instrText>
      </w:r>
      <w:r w:rsidR="00956980">
        <w:fldChar w:fldCharType="separate"/>
      </w:r>
      <w:r w:rsidR="00956980">
        <w:rPr>
          <w:noProof/>
        </w:rPr>
        <w:t>[2]</w:t>
      </w:r>
      <w:r w:rsidR="00956980">
        <w:fldChar w:fldCharType="end"/>
      </w:r>
      <w:r w:rsidR="00956980">
        <w:t>.</w:t>
      </w:r>
    </w:p>
    <w:p w:rsidR="0022024C" w:rsidRDefault="003E1C23" w:rsidP="0022024C">
      <w:r>
        <w:t xml:space="preserve">In the context of implementing these standards for new </w:t>
      </w:r>
      <w:r w:rsidR="00F60926">
        <w:t xml:space="preserve">low energy </w:t>
      </w:r>
      <w:r>
        <w:t>home</w:t>
      </w:r>
      <w:r w:rsidR="00755DA0">
        <w:t>s</w:t>
      </w:r>
      <w:r>
        <w:t xml:space="preserve"> in the UK, t</w:t>
      </w:r>
      <w:r w:rsidR="0022024C">
        <w:t xml:space="preserve">his paper presents the methodology and findings from </w:t>
      </w:r>
      <w:r w:rsidR="00AB104D">
        <w:t xml:space="preserve">a systematic </w:t>
      </w:r>
      <w:r w:rsidR="0022024C">
        <w:t xml:space="preserve">dynamic thermal simulation </w:t>
      </w:r>
      <w:r w:rsidR="00AB104D">
        <w:t xml:space="preserve">study </w:t>
      </w:r>
      <w:r w:rsidR="0022024C">
        <w:t xml:space="preserve">of advanced energy conservation, generation and management technologies applied to two case study dwellings in the UK, so as to achieve a net zero energy (NZE) target. </w:t>
      </w:r>
      <w:r w:rsidR="00076009">
        <w:t>A net zero energy building, in contrast to nearly zero energy, produces enough renewable energy to cover its annual energy consumption</w:t>
      </w:r>
      <w:r w:rsidR="00704A4F">
        <w:t xml:space="preserve"> </w:t>
      </w:r>
      <w:r w:rsidR="00704A4F">
        <w:fldChar w:fldCharType="begin"/>
      </w:r>
      <w:r w:rsidR="00704A4F">
        <w:instrText xml:space="preserve"> ADDIN EN.CITE &lt;EndNote&gt;&lt;Cite&gt;&lt;Author&gt;Kapsalaki&lt;/Author&gt;&lt;Year&gt;2011&lt;/Year&gt;&lt;RecNum&gt;272&lt;/RecNum&gt;&lt;DisplayText&gt;[3]&lt;/DisplayText&gt;&lt;record&gt;&lt;rec-number&gt;272&lt;/rec-number&gt;&lt;foreign-keys&gt;&lt;key app="EN" db-id="dtvfvp55j2tw0ned5ruxvv51zwdxaxr9wft0" timestamp="1493404440"&gt;272&lt;/key&gt;&lt;/foreign-keys&gt;&lt;ref-type name="Journal Article"&gt;17&lt;/ref-type&gt;&lt;contributors&gt;&lt;authors&gt;&lt;author&gt;Kapsalaki, Maria&lt;/author&gt;&lt;author&gt;Leal, Vitor&lt;/author&gt;&lt;/authors&gt;&lt;/contributors&gt;&lt;titles&gt;&lt;title&gt;Recent progress on net zero energy buildings&lt;/title&gt;&lt;secondary-title&gt;Advances in Building Energy Research&lt;/secondary-title&gt;&lt;/titles&gt;&lt;periodical&gt;&lt;full-title&gt;Advances in Building Energy Research&lt;/full-title&gt;&lt;/periodical&gt;&lt;pages&gt;129-162&lt;/pages&gt;&lt;volume&gt;5&lt;/volume&gt;&lt;number&gt;1&lt;/number&gt;&lt;dates&gt;&lt;year&gt;2011&lt;/year&gt;&lt;/dates&gt;&lt;isbn&gt;1751-2549&lt;/isbn&gt;&lt;urls&gt;&lt;/urls&gt;&lt;/record&gt;&lt;/Cite&gt;&lt;/EndNote&gt;</w:instrText>
      </w:r>
      <w:r w:rsidR="00704A4F">
        <w:fldChar w:fldCharType="separate"/>
      </w:r>
      <w:r w:rsidR="00704A4F">
        <w:rPr>
          <w:noProof/>
        </w:rPr>
        <w:t>[3]</w:t>
      </w:r>
      <w:r w:rsidR="00704A4F">
        <w:fldChar w:fldCharType="end"/>
      </w:r>
      <w:r w:rsidR="00076009">
        <w:t>. To</w:t>
      </w:r>
      <w:r>
        <w:t xml:space="preserve"> ensure that design is futureproof, t</w:t>
      </w:r>
      <w:r w:rsidR="0022024C">
        <w:t xml:space="preserve">he performance of the dwellings are then tested for change in energy and overheating risk in future climates (2030s, 2050s and 2080s) given </w:t>
      </w:r>
      <w:r w:rsidR="0022024C" w:rsidRPr="008276FF">
        <w:t xml:space="preserve">that mean external temperatures and solar insolation are expected to increase with a warming climate </w:t>
      </w:r>
      <w:r w:rsidR="0022024C" w:rsidRPr="008276FF">
        <w:fldChar w:fldCharType="begin"/>
      </w:r>
      <w:r w:rsidR="00704A4F">
        <w:instrText xml:space="preserve"> ADDIN EN.CITE &lt;EndNote&gt;&lt;Cite&gt;&lt;Author&gt;Murphy&lt;/Author&gt;&lt;Year&gt;2009&lt;/Year&gt;&lt;RecNum&gt;240&lt;/RecNum&gt;&lt;DisplayText&gt;[4]&lt;/DisplayText&gt;&lt;record&gt;&lt;rec-number&gt;240&lt;/rec-number&gt;&lt;foreign-keys&gt;&lt;key app="EN" db-id="dtvfvp55j2tw0ned5ruxvv51zwdxaxr9wft0" timestamp="1492619167"&gt;240&lt;/key&gt;&lt;/foreign-keys&gt;&lt;ref-type name="Journal Article"&gt;17&lt;/ref-type&gt;&lt;contributors&gt;&lt;authors&gt;&lt;author&gt;Murphy, James M&lt;/author&gt;&lt;author&gt;Sexton, DM&lt;/author&gt;&lt;author&gt;Jenkins, GJ&lt;/author&gt;&lt;author&gt;Booth, BB&lt;/author&gt;&lt;author&gt;Brown, CC&lt;/author&gt;&lt;author&gt;Clark, RT&lt;/author&gt;&lt;author&gt;Collins, M&lt;/author&gt;&lt;author&gt;Harris, GR&lt;/author&gt;&lt;author&gt;Kendon, EJ&lt;/author&gt;&lt;author&gt;Betts, RA&lt;/author&gt;&lt;/authors&gt;&lt;/contributors&gt;&lt;titles&gt;&lt;title&gt;UK climate projections science report: climate change projections&lt;/title&gt;&lt;/titles&gt;&lt;dates&gt;&lt;year&gt;2009&lt;/year&gt;&lt;/dates&gt;&lt;isbn&gt;1906360022&lt;/isbn&gt;&lt;urls&gt;&lt;related-urls&gt;&lt;url&gt;http://ukclimateprojections.metoffice.gov.uk/media.jsp?mediaid=87893&lt;/url&gt;&lt;/related-urls&gt;&lt;/urls&gt;&lt;/record&gt;&lt;/Cite&gt;&lt;/EndNote&gt;</w:instrText>
      </w:r>
      <w:r w:rsidR="0022024C" w:rsidRPr="008276FF">
        <w:fldChar w:fldCharType="separate"/>
      </w:r>
      <w:r w:rsidR="00704A4F">
        <w:rPr>
          <w:noProof/>
        </w:rPr>
        <w:t>[4]</w:t>
      </w:r>
      <w:r w:rsidR="0022024C" w:rsidRPr="008276FF">
        <w:fldChar w:fldCharType="end"/>
      </w:r>
      <w:r w:rsidR="0022024C" w:rsidRPr="008276FF">
        <w:t>.</w:t>
      </w:r>
      <w:r w:rsidR="008966FE">
        <w:t xml:space="preserve"> </w:t>
      </w:r>
      <w:r w:rsidR="0022024C">
        <w:t xml:space="preserve">This study is part of a Horizon 2020 research project with case studies in Cyprus, France, Italy and the UK, on design, optimisation, implementation and monitoring of advanced and cost-effective solutions for achieving NZE and positive energy </w:t>
      </w:r>
      <w:r w:rsidR="00076009">
        <w:t>dwellings</w:t>
      </w:r>
      <w:r w:rsidR="0022024C">
        <w:t>. This paper focusses on the results of the modelling and simulation of two case study dwellings</w:t>
      </w:r>
      <w:r w:rsidR="006D0190">
        <w:t xml:space="preserve"> (part of a housing development)</w:t>
      </w:r>
      <w:r w:rsidR="0022024C">
        <w:t xml:space="preserve"> in the U</w:t>
      </w:r>
      <w:r w:rsidR="008317B9">
        <w:t>K so as</w:t>
      </w:r>
      <w:r w:rsidR="0022024C">
        <w:t xml:space="preserve"> to satisfy the Directive</w:t>
      </w:r>
      <w:r w:rsidR="00DC2E7D">
        <w:t xml:space="preserve">, </w:t>
      </w:r>
      <w:r w:rsidR="00DF1300">
        <w:t>by meeting the following NZE targets</w:t>
      </w:r>
      <w:r w:rsidR="0022024C">
        <w:t xml:space="preserve">: </w:t>
      </w:r>
    </w:p>
    <w:p w:rsidR="0022024C" w:rsidRDefault="0022024C" w:rsidP="0022024C">
      <w:pPr>
        <w:pStyle w:val="ListParagraph"/>
        <w:numPr>
          <w:ilvl w:val="0"/>
          <w:numId w:val="4"/>
        </w:numPr>
      </w:pPr>
      <w:r>
        <w:t xml:space="preserve">To achieve a net </w:t>
      </w:r>
      <w:r w:rsidRPr="003E1C23">
        <w:t>regulated energy of ≤0 kWh/m</w:t>
      </w:r>
      <w:r w:rsidRPr="003E1C23">
        <w:rPr>
          <w:vertAlign w:val="superscript"/>
        </w:rPr>
        <w:t>2</w:t>
      </w:r>
      <w:r w:rsidRPr="003E1C23">
        <w:t xml:space="preserve"> per year. </w:t>
      </w:r>
      <w:r>
        <w:t xml:space="preserve">The reduced energy consumption will be attained through the application of a number of </w:t>
      </w:r>
      <w:r w:rsidR="000A620A">
        <w:t xml:space="preserve">innovative </w:t>
      </w:r>
      <w:r w:rsidR="00DD7C81">
        <w:t>energy</w:t>
      </w:r>
      <w:r>
        <w:t xml:space="preserve"> technologies.</w:t>
      </w:r>
    </w:p>
    <w:p w:rsidR="00321684" w:rsidRPr="0022024C" w:rsidRDefault="0022024C" w:rsidP="0021571C">
      <w:pPr>
        <w:pStyle w:val="ListParagraph"/>
        <w:numPr>
          <w:ilvl w:val="0"/>
          <w:numId w:val="4"/>
        </w:numPr>
      </w:pPr>
      <w:r>
        <w:t xml:space="preserve">In order to achieve the NZE target </w:t>
      </w:r>
      <w:proofErr w:type="gramStart"/>
      <w:r>
        <w:t>above</w:t>
      </w:r>
      <w:r w:rsidR="00CC5368">
        <w:t>,</w:t>
      </w:r>
      <w:r w:rsidR="00865687">
        <w:t xml:space="preserve"> </w:t>
      </w:r>
      <w:r>
        <w:t>at least 50 kWh/m</w:t>
      </w:r>
      <w:r w:rsidRPr="003A7230">
        <w:rPr>
          <w:vertAlign w:val="superscript"/>
        </w:rPr>
        <w:t>2</w:t>
      </w:r>
      <w:r>
        <w:t xml:space="preserve"> renewable energy per year</w:t>
      </w:r>
      <w:proofErr w:type="gramEnd"/>
      <w:r>
        <w:t xml:space="preserve"> must be generated, on average, in the </w:t>
      </w:r>
      <w:r w:rsidR="00230AD5">
        <w:t xml:space="preserve">case study </w:t>
      </w:r>
      <w:r>
        <w:t xml:space="preserve">development through either building integrated and/or community renewable </w:t>
      </w:r>
      <w:r w:rsidR="00DC42FB">
        <w:t xml:space="preserve">energy </w:t>
      </w:r>
      <w:r>
        <w:t>systems.</w:t>
      </w:r>
    </w:p>
    <w:p w:rsidR="00466491" w:rsidRDefault="002B007B" w:rsidP="001D63DF">
      <w:pPr>
        <w:pStyle w:val="Heading1"/>
      </w:pPr>
      <w:r>
        <w:t>2.</w:t>
      </w:r>
      <w:r>
        <w:tab/>
      </w:r>
      <w:r w:rsidR="00DF0179">
        <w:t xml:space="preserve">NZE dwellings and </w:t>
      </w:r>
      <w:r w:rsidR="006C2A9D">
        <w:t xml:space="preserve">summertime </w:t>
      </w:r>
      <w:r w:rsidR="006844AC">
        <w:t>overheating</w:t>
      </w:r>
    </w:p>
    <w:p w:rsidR="00B94279" w:rsidRDefault="00B94279" w:rsidP="008D4B0E">
      <w:r>
        <w:t>For over twenty years</w:t>
      </w:r>
      <w:r w:rsidR="005B4FE7">
        <w:t>,</w:t>
      </w:r>
      <w:r>
        <w:t xml:space="preserve"> </w:t>
      </w:r>
      <w:r w:rsidR="00B9460E">
        <w:t>NZE</w:t>
      </w:r>
      <w:r>
        <w:t xml:space="preserve"> buildings have been successfully demonstrated in many countries, including Austria,  Egypt, Germany, the UK, and the USA </w:t>
      </w:r>
      <w:r>
        <w:fldChar w:fldCharType="begin"/>
      </w:r>
      <w:r>
        <w:instrText xml:space="preserve"> ADDIN EN.CITE &lt;EndNote&gt;&lt;Cite&gt;&lt;Author&gt;Kapsalaki&lt;/Author&gt;&lt;Year&gt;2011&lt;/Year&gt;&lt;RecNum&gt;272&lt;/RecNum&gt;&lt;DisplayText&gt;[3]&lt;/DisplayText&gt;&lt;record&gt;&lt;rec-number&gt;272&lt;/rec-number&gt;&lt;foreign-keys&gt;&lt;key app="EN" db-id="dtvfvp55j2tw0ned5ruxvv51zwdxaxr9wft0" timestamp="1493404440"&gt;272&lt;/key&gt;&lt;/foreign-keys&gt;&lt;ref-type name="Journal Article"&gt;17&lt;/ref-type&gt;&lt;contributors&gt;&lt;authors&gt;&lt;author&gt;Kapsalaki, Maria&lt;/author&gt;&lt;author&gt;Leal, Vitor&lt;/author&gt;&lt;/authors&gt;&lt;/contributors&gt;&lt;titles&gt;&lt;title&gt;Recent progress on net zero energy buildings&lt;/title&gt;&lt;secondary-title&gt;Advances in Building Energy Research&lt;/secondary-title&gt;&lt;/titles&gt;&lt;periodical&gt;&lt;full-title&gt;Advances in Building Energy Research&lt;/full-title&gt;&lt;/periodical&gt;&lt;pages&gt;129-162&lt;/pages&gt;&lt;volume&gt;5&lt;/volume&gt;&lt;number&gt;1&lt;/number&gt;&lt;dates&gt;&lt;year&gt;2011&lt;/year&gt;&lt;/dates&gt;&lt;isbn&gt;1751-2549&lt;/isbn&gt;&lt;urls&gt;&lt;/urls&gt;&lt;/record&gt;&lt;/Cite&gt;&lt;/EndNote&gt;</w:instrText>
      </w:r>
      <w:r>
        <w:fldChar w:fldCharType="separate"/>
      </w:r>
      <w:r>
        <w:rPr>
          <w:noProof/>
        </w:rPr>
        <w:t>[3]</w:t>
      </w:r>
      <w:r>
        <w:fldChar w:fldCharType="end"/>
      </w:r>
      <w:r>
        <w:t>. The</w:t>
      </w:r>
      <w:r w:rsidR="005B4FE7">
        <w:t>se</w:t>
      </w:r>
      <w:r>
        <w:t xml:space="preserve"> buildings </w:t>
      </w:r>
      <w:r w:rsidR="005B4FE7">
        <w:t xml:space="preserve">have </w:t>
      </w:r>
      <w:r>
        <w:t>explored exemplar use of miniature cogeneration, high efficiency heat pumps, PV and passive measures like super-insulation, highly reflective surfaces, seasonal pre-conditioning of incoming air via buried pipe.</w:t>
      </w:r>
    </w:p>
    <w:p w:rsidR="008D4B0E" w:rsidRDefault="00704A4F" w:rsidP="008D4B0E">
      <w:r>
        <w:lastRenderedPageBreak/>
        <w:t>Research on the subject of NZE buildings</w:t>
      </w:r>
      <w:r w:rsidRPr="00704A4F">
        <w:t xml:space="preserve"> </w:t>
      </w:r>
      <w:r>
        <w:t>has developed significantly</w:t>
      </w:r>
      <w:r w:rsidRPr="00704A4F">
        <w:t xml:space="preserve"> to assist </w:t>
      </w:r>
      <w:r>
        <w:t xml:space="preserve">in efficient design, </w:t>
      </w:r>
      <w:r w:rsidRPr="00704A4F">
        <w:t>efficient monitoring and operation</w:t>
      </w:r>
      <w:r>
        <w:t>; however the benefit reaches beyond to all buildings whether they are designed to be</w:t>
      </w:r>
      <w:r w:rsidRPr="00704A4F">
        <w:t xml:space="preserve"> </w:t>
      </w:r>
      <w:r>
        <w:t xml:space="preserve">NZE or not </w:t>
      </w:r>
      <w:r>
        <w:fldChar w:fldCharType="begin"/>
      </w:r>
      <w:r>
        <w:instrText xml:space="preserve"> ADDIN EN.CITE &lt;EndNote&gt;&lt;Cite&gt;&lt;Author&gt;Kapsalaki&lt;/Author&gt;&lt;Year&gt;2011&lt;/Year&gt;&lt;RecNum&gt;272&lt;/RecNum&gt;&lt;DisplayText&gt;[3]&lt;/DisplayText&gt;&lt;record&gt;&lt;rec-number&gt;272&lt;/rec-number&gt;&lt;foreign-keys&gt;&lt;key app="EN" db-id="dtvfvp55j2tw0ned5ruxvv51zwdxaxr9wft0" timestamp="1493404440"&gt;272&lt;/key&gt;&lt;/foreign-keys&gt;&lt;ref-type name="Journal Article"&gt;17&lt;/ref-type&gt;&lt;contributors&gt;&lt;authors&gt;&lt;author&gt;Kapsalaki, Maria&lt;/author&gt;&lt;author&gt;Leal, Vitor&lt;/author&gt;&lt;/authors&gt;&lt;/contributors&gt;&lt;titles&gt;&lt;title&gt;Recent progress on net zero energy buildings&lt;/title&gt;&lt;secondary-title&gt;Advances in Building Energy Research&lt;/secondary-title&gt;&lt;/titles&gt;&lt;periodical&gt;&lt;full-title&gt;Advances in Building Energy Research&lt;/full-title&gt;&lt;/periodical&gt;&lt;pages&gt;129-162&lt;/pages&gt;&lt;volume&gt;5&lt;/volume&gt;&lt;number&gt;1&lt;/number&gt;&lt;dates&gt;&lt;year&gt;2011&lt;/year&gt;&lt;/dates&gt;&lt;isbn&gt;1751-2549&lt;/isbn&gt;&lt;urls&gt;&lt;/urls&gt;&lt;/record&gt;&lt;/Cite&gt;&lt;/EndNote&gt;</w:instrText>
      </w:r>
      <w:r>
        <w:fldChar w:fldCharType="separate"/>
      </w:r>
      <w:r>
        <w:rPr>
          <w:noProof/>
        </w:rPr>
        <w:t>[3]</w:t>
      </w:r>
      <w:r>
        <w:fldChar w:fldCharType="end"/>
      </w:r>
      <w:r>
        <w:t>.</w:t>
      </w:r>
      <w:r w:rsidR="00DD684E">
        <w:t xml:space="preserve"> </w:t>
      </w:r>
      <w:r>
        <w:t xml:space="preserve">Until about 15 years ago NZE dwellings were single dwellings built by pioneering developers and architects </w:t>
      </w:r>
      <w:r>
        <w:fldChar w:fldCharType="begin"/>
      </w:r>
      <w:r>
        <w:instrText xml:space="preserve"> ADDIN EN.CITE &lt;EndNote&gt;&lt;Cite&gt;&lt;Author&gt;Stahl&lt;/Author&gt;&lt;Year&gt;1994&lt;/Year&gt;&lt;RecNum&gt;241&lt;/RecNum&gt;&lt;DisplayText&gt;[5, 6]&lt;/DisplayText&gt;&lt;record&gt;&lt;rec-number&gt;241&lt;/rec-number&gt;&lt;foreign-keys&gt;&lt;key app="EN" db-id="dtvfvp55j2tw0ned5ruxvv51zwdxaxr9wft0" timestamp="1492621914"&gt;241&lt;/key&gt;&lt;/foreign-keys&gt;&lt;ref-type name="Journal Article"&gt;17&lt;/ref-type&gt;&lt;contributors&gt;&lt;authors&gt;&lt;author&gt;Stahl, W&lt;/author&gt;&lt;author&gt;Voss, K&lt;/author&gt;&lt;author&gt;Goetzberger, A&lt;/author&gt;&lt;/authors&gt;&lt;/contributors&gt;&lt;titles&gt;&lt;title&gt;The self-sufficient solar house in Freiburg&lt;/title&gt;&lt;secondary-title&gt;Solar Energy&lt;/secondary-title&gt;&lt;/titles&gt;&lt;periodical&gt;&lt;full-title&gt;Solar Energy&lt;/full-title&gt;&lt;/periodical&gt;&lt;pages&gt;111-125&lt;/pages&gt;&lt;volume&gt;52&lt;/volume&gt;&lt;number&gt;1&lt;/number&gt;&lt;dates&gt;&lt;year&gt;1994&lt;/year&gt;&lt;/dates&gt;&lt;isbn&gt;0038-092X&lt;/isbn&gt;&lt;urls&gt;&lt;/urls&gt;&lt;/record&gt;&lt;/Cite&gt;&lt;Cite&gt;&lt;Author&gt;Vale&lt;/Author&gt;&lt;Year&gt;2000&lt;/Year&gt;&lt;RecNum&gt;242&lt;/RecNum&gt;&lt;record&gt;&lt;rec-number&gt;242&lt;/rec-number&gt;&lt;foreign-keys&gt;&lt;key app="EN" db-id="dtvfvp55j2tw0ned5ruxvv51zwdxaxr9wft0" timestamp="1492621985"&gt;242&lt;/key&gt;&lt;/foreign-keys&gt;&lt;ref-type name="Book"&gt;6&lt;/ref-type&gt;&lt;contributors&gt;&lt;authors&gt;&lt;author&gt;Vale, Brenda&lt;/author&gt;&lt;author&gt;Vale, Robert James Dennis&lt;/author&gt;&lt;/authors&gt;&lt;/contributors&gt;&lt;titles&gt;&lt;title&gt;The new autonomous house: Design and planning for sustainability&lt;/title&gt;&lt;/titles&gt;&lt;dates&gt;&lt;year&gt;2000&lt;/year&gt;&lt;/dates&gt;&lt;publisher&gt;Thames &amp;amp; Hudson&lt;/publisher&gt;&lt;isbn&gt;0500282870&lt;/isbn&gt;&lt;urls&gt;&lt;/urls&gt;&lt;/record&gt;&lt;/Cite&gt;&lt;/EndNote&gt;</w:instrText>
      </w:r>
      <w:r>
        <w:fldChar w:fldCharType="separate"/>
      </w:r>
      <w:r>
        <w:rPr>
          <w:noProof/>
        </w:rPr>
        <w:t>[5, 6]</w:t>
      </w:r>
      <w:r>
        <w:fldChar w:fldCharType="end"/>
      </w:r>
      <w:r w:rsidR="00B94279">
        <w:t xml:space="preserve">, </w:t>
      </w:r>
      <w:r w:rsidR="00733A34">
        <w:t>i.e., the</w:t>
      </w:r>
      <w:r w:rsidR="00466491">
        <w:t xml:space="preserve"> </w:t>
      </w:r>
      <w:r w:rsidR="008D4B0E">
        <w:t>NZE drive has largely been focussed on the individual building</w:t>
      </w:r>
      <w:r w:rsidR="00396386">
        <w:t xml:space="preserve"> </w:t>
      </w:r>
      <w:r w:rsidR="00396386">
        <w:fldChar w:fldCharType="begin"/>
      </w:r>
      <w:r>
        <w:instrText xml:space="preserve"> ADDIN EN.CITE &lt;EndNote&gt;&lt;Cite&gt;&lt;Author&gt;Marique&lt;/Author&gt;&lt;Year&gt;2014&lt;/Year&gt;&lt;RecNum&gt;243&lt;/RecNum&gt;&lt;DisplayText&gt;[7]&lt;/DisplayText&gt;&lt;record&gt;&lt;rec-number&gt;243&lt;/rec-number&gt;&lt;foreign-keys&gt;&lt;key app="EN" db-id="dtvfvp55j2tw0ned5ruxvv51zwdxaxr9wft0" timestamp="1492622066"&gt;243&lt;/key&gt;&lt;/foreign-keys&gt;&lt;ref-type name="Journal Article"&gt;17&lt;/ref-type&gt;&lt;contributors&gt;&lt;authors&gt;&lt;author&gt;Marique, Anne-Françoise&lt;/author&gt;&lt;author&gt;Reiter, Sigrid&lt;/author&gt;&lt;/authors&gt;&lt;/contributors&gt;&lt;titles&gt;&lt;title&gt;A simplified framework to assess the feasibility of zero-energy at the neighbourhood/community scale&lt;/title&gt;&lt;secondary-title&gt;Energy and Buildings&lt;/secondary-title&gt;&lt;/titles&gt;&lt;periodical&gt;&lt;full-title&gt;Energy and Buildings&lt;/full-title&gt;&lt;/periodical&gt;&lt;pages&gt;114-122&lt;/pages&gt;&lt;volume&gt;82&lt;/volume&gt;&lt;dates&gt;&lt;year&gt;2014&lt;/year&gt;&lt;/dates&gt;&lt;isbn&gt;0378-7788&lt;/isbn&gt;&lt;urls&gt;&lt;/urls&gt;&lt;/record&gt;&lt;/Cite&gt;&lt;/EndNote&gt;</w:instrText>
      </w:r>
      <w:r w:rsidR="00396386">
        <w:fldChar w:fldCharType="separate"/>
      </w:r>
      <w:r>
        <w:rPr>
          <w:noProof/>
        </w:rPr>
        <w:t>[7]</w:t>
      </w:r>
      <w:r w:rsidR="00396386">
        <w:fldChar w:fldCharType="end"/>
      </w:r>
      <w:r w:rsidR="008D4B0E">
        <w:t xml:space="preserve">; however, </w:t>
      </w:r>
      <w:r w:rsidR="00076009">
        <w:t xml:space="preserve">shared-effort, i.e. dwellings sharing renewable technology to cover energy consumption, </w:t>
      </w:r>
      <w:r w:rsidR="008D4B0E">
        <w:t>has advantages in terms of initial investment costs and energy management</w:t>
      </w:r>
      <w:r w:rsidR="00396386">
        <w:t xml:space="preserve"> </w:t>
      </w:r>
      <w:r w:rsidR="00396386">
        <w:fldChar w:fldCharType="begin"/>
      </w:r>
      <w:r>
        <w:instrText xml:space="preserve"> ADDIN EN.CITE &lt;EndNote&gt;&lt;Cite&gt;&lt;Author&gt;Voss&lt;/Author&gt;&lt;Year&gt;2011&lt;/Year&gt;&lt;RecNum&gt;244&lt;/RecNum&gt;&lt;DisplayText&gt;[8]&lt;/DisplayText&gt;&lt;record&gt;&lt;rec-number&gt;244&lt;/rec-number&gt;&lt;foreign-keys&gt;&lt;key app="EN" db-id="dtvfvp55j2tw0ned5ruxvv51zwdxaxr9wft0" timestamp="1492622136"&gt;244&lt;/key&gt;&lt;/foreign-keys&gt;&lt;ref-type name="Journal Article"&gt;17&lt;/ref-type&gt;&lt;contributors&gt;&lt;authors&gt;&lt;author&gt;Voss, Karsten&lt;/author&gt;&lt;author&gt;Musall, Eike&lt;/author&gt;&lt;author&gt;Lichtmeß, Markus&lt;/author&gt;&lt;/authors&gt;&lt;/contributors&gt;&lt;titles&gt;&lt;title&gt;From low-energy to Net Zero-Energy Buildings: status and perspectives&lt;/title&gt;&lt;secondary-title&gt;Journal of Green building&lt;/secondary-title&gt;&lt;/titles&gt;&lt;periodical&gt;&lt;full-title&gt;Journal of Green building&lt;/full-title&gt;&lt;/periodical&gt;&lt;pages&gt;46-57&lt;/pages&gt;&lt;volume&gt;6&lt;/volume&gt;&lt;number&gt;1&lt;/number&gt;&lt;dates&gt;&lt;year&gt;2011&lt;/year&gt;&lt;/dates&gt;&lt;isbn&gt;1552-6100&lt;/isbn&gt;&lt;urls&gt;&lt;/urls&gt;&lt;/record&gt;&lt;/Cite&gt;&lt;/EndNote&gt;</w:instrText>
      </w:r>
      <w:r w:rsidR="00396386">
        <w:fldChar w:fldCharType="separate"/>
      </w:r>
      <w:r>
        <w:rPr>
          <w:noProof/>
        </w:rPr>
        <w:t>[8]</w:t>
      </w:r>
      <w:r w:rsidR="00396386">
        <w:fldChar w:fldCharType="end"/>
      </w:r>
      <w:r w:rsidR="008D4B0E">
        <w:t>. Generally</w:t>
      </w:r>
      <w:r w:rsidR="00482B72">
        <w:t>,</w:t>
      </w:r>
      <w:r w:rsidR="008D4B0E">
        <w:t xml:space="preserve"> </w:t>
      </w:r>
      <w:r w:rsidR="00076009">
        <w:t xml:space="preserve">a set of dwellings, </w:t>
      </w:r>
      <w:r w:rsidR="008D4B0E">
        <w:t xml:space="preserve">neighbourhoods </w:t>
      </w:r>
      <w:r w:rsidR="00076009">
        <w:t xml:space="preserve">or </w:t>
      </w:r>
      <w:r w:rsidR="008D4B0E">
        <w:t xml:space="preserve">communities can support certain technologies for heating, cooling, and electricity generation more cost-effectively through economy of scale. As an example, combined heat and power (CHP) systems are more efficient when </w:t>
      </w:r>
      <w:r w:rsidR="00A44EF2">
        <w:t xml:space="preserve">a large number of </w:t>
      </w:r>
      <w:r w:rsidR="00D05F4A">
        <w:t>dwellings</w:t>
      </w:r>
      <w:r w:rsidR="00A44EF2">
        <w:t xml:space="preserve"> have to be served</w:t>
      </w:r>
      <w:r w:rsidR="008D4B0E">
        <w:t>. Beyond the typical domestic neighbourhood, mixed-use communities benefit from a mix of occupancies and uses, which can support more efficient use of infrastructure, more space for renewable systems, and more efficient use of energy wherein almost 24-hour consumption maximises the use of district heating and power sources</w:t>
      </w:r>
      <w:r w:rsidR="00396386">
        <w:t xml:space="preserve"> </w:t>
      </w:r>
      <w:r w:rsidR="00396386">
        <w:fldChar w:fldCharType="begin"/>
      </w:r>
      <w:r>
        <w:instrText xml:space="preserve"> ADDIN EN.CITE &lt;EndNote&gt;&lt;Cite&gt;&lt;Author&gt;Malin&lt;/Author&gt;&lt;Year&gt;2010&lt;/Year&gt;&lt;RecNum&gt;245&lt;/RecNum&gt;&lt;DisplayText&gt;[9]&lt;/DisplayText&gt;&lt;record&gt;&lt;rec-number&gt;245&lt;/rec-number&gt;&lt;foreign-keys&gt;&lt;key app="EN" db-id="dtvfvp55j2tw0ned5ruxvv51zwdxaxr9wft0" timestamp="1492622232"&gt;245&lt;/key&gt;&lt;/foreign-keys&gt;&lt;ref-type name="Journal Article"&gt;17&lt;/ref-type&gt;&lt;contributors&gt;&lt;authors&gt;&lt;author&gt;Malin, Nadav&lt;/author&gt;&lt;/authors&gt;&lt;/contributors&gt;&lt;titles&gt;&lt;title&gt;The Problem with Net-Zero Buildings (and the Case for Net-Zero Neighborhoods)&lt;/title&gt;&lt;secondary-title&gt;Environmental building news&lt;/secondary-title&gt;&lt;/titles&gt;&lt;periodical&gt;&lt;full-title&gt;Environmental building news&lt;/full-title&gt;&lt;/periodical&gt;&lt;pages&gt;1-15&lt;/pages&gt;&lt;volume&gt;19&lt;/volume&gt;&lt;number&gt;8&lt;/number&gt;&lt;dates&gt;&lt;year&gt;2010&lt;/year&gt;&lt;/dates&gt;&lt;urls&gt;&lt;/urls&gt;&lt;/record&gt;&lt;/Cite&gt;&lt;/EndNote&gt;</w:instrText>
      </w:r>
      <w:r w:rsidR="00396386">
        <w:fldChar w:fldCharType="separate"/>
      </w:r>
      <w:r>
        <w:rPr>
          <w:noProof/>
        </w:rPr>
        <w:t>[9]</w:t>
      </w:r>
      <w:r w:rsidR="00396386">
        <w:fldChar w:fldCharType="end"/>
      </w:r>
      <w:r w:rsidR="003E1C23">
        <w:t xml:space="preserve">. </w:t>
      </w:r>
      <w:r w:rsidR="008D4B0E">
        <w:t xml:space="preserve">The community level approach </w:t>
      </w:r>
      <w:r w:rsidR="0082733F">
        <w:t>is also</w:t>
      </w:r>
      <w:r w:rsidR="008D4B0E">
        <w:t xml:space="preserve"> helpful in achieving an overall cumulative NZE balance where not all buildings are able to meet the NZE target due to individual limitations</w:t>
      </w:r>
      <w:r w:rsidR="00396386">
        <w:t xml:space="preserve"> </w:t>
      </w:r>
      <w:r w:rsidR="00396386">
        <w:fldChar w:fldCharType="begin"/>
      </w:r>
      <w:r>
        <w:instrText xml:space="preserve"> ADDIN EN.CITE &lt;EndNote&gt;&lt;Cite&gt;&lt;Author&gt;Halasah&lt;/Author&gt;&lt;Year&gt;2013&lt;/Year&gt;&lt;RecNum&gt;246&lt;/RecNum&gt;&lt;DisplayText&gt;[10]&lt;/DisplayText&gt;&lt;record&gt;&lt;rec-number&gt;246&lt;/rec-number&gt;&lt;foreign-keys&gt;&lt;key app="EN" db-id="dtvfvp55j2tw0ned5ruxvv51zwdxaxr9wft0" timestamp="1492622306"&gt;246&lt;/key&gt;&lt;/foreign-keys&gt;&lt;ref-type name="Journal Article"&gt;17&lt;/ref-type&gt;&lt;contributors&gt;&lt;authors&gt;&lt;author&gt;Halasah, Suleiman A&lt;/author&gt;&lt;author&gt;Pearlmutter, David&lt;/author&gt;&lt;author&gt;Feuermann, Daniel&lt;/author&gt;&lt;/authors&gt;&lt;/contributors&gt;&lt;titles&gt;&lt;title&gt;Field installation versus local integration of photovoltaic systems and their effect on energy evaluation metrics&lt;/title&gt;&lt;secondary-title&gt;Energy policy&lt;/secondary-title&gt;&lt;/titles&gt;&lt;periodical&gt;&lt;full-title&gt;Energy Policy&lt;/full-title&gt;&lt;/periodical&gt;&lt;pages&gt;462-471&lt;/pages&gt;&lt;volume&gt;52&lt;/volume&gt;&lt;dates&gt;&lt;year&gt;2013&lt;/year&gt;&lt;/dates&gt;&lt;isbn&gt;0301-4215&lt;/isbn&gt;&lt;urls&gt;&lt;/urls&gt;&lt;/record&gt;&lt;/Cite&gt;&lt;/EndNote&gt;</w:instrText>
      </w:r>
      <w:r w:rsidR="00396386">
        <w:fldChar w:fldCharType="separate"/>
      </w:r>
      <w:r>
        <w:rPr>
          <w:noProof/>
        </w:rPr>
        <w:t>[10]</w:t>
      </w:r>
      <w:r w:rsidR="00396386">
        <w:fldChar w:fldCharType="end"/>
      </w:r>
      <w:r w:rsidR="008D4B0E">
        <w:t xml:space="preserve">. </w:t>
      </w:r>
    </w:p>
    <w:p w:rsidR="00D52C32" w:rsidRDefault="005B0736" w:rsidP="001D63DF">
      <w:r>
        <w:t xml:space="preserve">Although NZE dwellings </w:t>
      </w:r>
      <w:r w:rsidR="00146720" w:rsidRPr="001D63DF">
        <w:t xml:space="preserve">are designed to reduce heat losses through improved airtightness and increased insulation, </w:t>
      </w:r>
      <w:r w:rsidR="000936DF">
        <w:t>this can potentially raise</w:t>
      </w:r>
      <w:r w:rsidR="00146720" w:rsidRPr="001D63DF">
        <w:t xml:space="preserve"> the risk of overheating and inadequate ventilation</w:t>
      </w:r>
      <w:r w:rsidR="003F1E05">
        <w:t xml:space="preserve"> </w:t>
      </w:r>
      <w:r w:rsidR="00AF0578">
        <w:t>[11]</w:t>
      </w:r>
      <w:r w:rsidR="00146720" w:rsidRPr="001D63DF">
        <w:t xml:space="preserve">. </w:t>
      </w:r>
      <w:r w:rsidR="00D52C32" w:rsidRPr="00D52C32">
        <w:t xml:space="preserve">Overheating can occur in </w:t>
      </w:r>
      <w:r w:rsidR="000936DF">
        <w:t>such dwellings</w:t>
      </w:r>
      <w:r w:rsidR="000936DF" w:rsidRPr="00D52C32">
        <w:t xml:space="preserve"> </w:t>
      </w:r>
      <w:r w:rsidR="00D52C32" w:rsidRPr="00D52C32">
        <w:t xml:space="preserve">as a result of a number of causes acting alone or in combination. These can include heat gain from high external temperatures, direct solar gain on the exterior surface or penetrating glazing, and internal heat gains. Home characteristics such as dark surface materials, rooms in the roof, skylights, inability to ventilate due to location, predominately dark hard surface surroundings, single aspect flats on upper floors, and orientation that allows late solar gain in windows can all contribute to overheating </w:t>
      </w:r>
      <w:r w:rsidR="00D52C32" w:rsidRPr="00D52C32">
        <w:fldChar w:fldCharType="begin"/>
      </w:r>
      <w:r w:rsidR="00704A4F">
        <w:instrText xml:space="preserve"> ADDIN EN.CITE &lt;EndNote&gt;&lt;Cite&gt;&lt;Author&gt;Gupta&lt;/Author&gt;&lt;Year&gt;2012&lt;/Year&gt;&lt;RecNum&gt;2&lt;/RecNum&gt;&lt;DisplayText&gt;[12]&lt;/DisplayText&gt;&lt;record&gt;&lt;rec-number&gt;2&lt;/rec-number&gt;&lt;foreign-keys&gt;&lt;key app="EN" db-id="dtvfvp55j2tw0ned5ruxvv51zwdxaxr9wft0" timestamp="1435770615"&gt;2&lt;/key&gt;&lt;/foreign-keys&gt;&lt;ref-type name="Journal Article"&gt;17&lt;/ref-type&gt;&lt;contributors&gt;&lt;authors&gt;&lt;author&gt;Gupta, Rajat&lt;/author&gt;&lt;author&gt;Gregg, Matthew&lt;/author&gt;&lt;/authors&gt;&lt;/contributors&gt;&lt;titles&gt;&lt;title&gt;Using UK climate change projections to adapt existing English homes for a warming climate&lt;/title&gt;&lt;secondary-title&gt;Building and Environment&lt;/secondary-title&gt;&lt;/titles&gt;&lt;periodical&gt;&lt;full-title&gt;Building and Environment&lt;/full-title&gt;&lt;/periodical&gt;&lt;pages&gt;20-42&lt;/pages&gt;&lt;volume&gt;55&lt;/volume&gt;&lt;number&gt;September&lt;/number&gt;&lt;keywords&gt;&lt;keyword&gt;Climate change&lt;/keyword&gt;&lt;keyword&gt;Overheating&lt;/keyword&gt;&lt;keyword&gt;Adaptation&lt;/keyword&gt;&lt;keyword&gt;Mitigation&lt;/keyword&gt;&lt;keyword&gt;Suburban housing&lt;/keyword&gt;&lt;/keywords&gt;&lt;dates&gt;&lt;year&gt;2012&lt;/year&gt;&lt;pub-dates&gt;&lt;date&gt;9//&lt;/date&gt;&lt;/pub-dates&gt;&lt;/dates&gt;&lt;isbn&gt;0360-1323&lt;/isbn&gt;&lt;urls&gt;&lt;related-urls&gt;&lt;url&gt;http://www.sciencedirect.com/science/article/pii/S0360132312000236&lt;/url&gt;&lt;/related-urls&gt;&lt;/urls&gt;&lt;electronic-resource-num&gt;http://dx.doi.org/10.1016/j.buildenv.2012.01.014&lt;/electronic-resource-num&gt;&lt;/record&gt;&lt;/Cite&gt;&lt;/EndNote&gt;</w:instrText>
      </w:r>
      <w:r w:rsidR="00D52C32" w:rsidRPr="00D52C32">
        <w:fldChar w:fldCharType="separate"/>
      </w:r>
      <w:r w:rsidR="00704A4F">
        <w:rPr>
          <w:noProof/>
        </w:rPr>
        <w:t>[12]</w:t>
      </w:r>
      <w:r w:rsidR="00D52C32" w:rsidRPr="00D52C32">
        <w:fldChar w:fldCharType="end"/>
      </w:r>
      <w:r w:rsidR="00D52C32" w:rsidRPr="00D52C32">
        <w:t xml:space="preserve">. </w:t>
      </w:r>
    </w:p>
    <w:p w:rsidR="006C2A9D" w:rsidRPr="00186ACC" w:rsidRDefault="00D52C32" w:rsidP="00D52C32">
      <w:pPr>
        <w:pStyle w:val="Mainbodytext"/>
        <w:spacing w:after="200" w:line="276" w:lineRule="auto"/>
        <w:ind w:firstLine="0"/>
        <w:jc w:val="left"/>
        <w:rPr>
          <w:rFonts w:asciiTheme="minorHAnsi" w:hAnsiTheme="minorHAnsi"/>
          <w:sz w:val="22"/>
          <w:szCs w:val="22"/>
        </w:rPr>
      </w:pPr>
      <w:r w:rsidRPr="00186ACC">
        <w:rPr>
          <w:rFonts w:asciiTheme="minorHAnsi" w:hAnsiTheme="minorHAnsi"/>
          <w:sz w:val="22"/>
          <w:szCs w:val="22"/>
        </w:rPr>
        <w:t xml:space="preserve">Much research has set out to establish the risk of overheating by simulating the current and future risk in older dwellings </w:t>
      </w:r>
      <w:r w:rsidRPr="00186ACC">
        <w:rPr>
          <w:rFonts w:asciiTheme="minorHAnsi" w:hAnsiTheme="minorHAnsi"/>
          <w:sz w:val="22"/>
          <w:szCs w:val="22"/>
        </w:rPr>
        <w:fldChar w:fldCharType="begin"/>
      </w:r>
      <w:r w:rsidR="00704A4F" w:rsidRPr="001D63DF">
        <w:rPr>
          <w:rFonts w:asciiTheme="minorHAnsi" w:hAnsiTheme="minorHAnsi"/>
          <w:sz w:val="22"/>
          <w:szCs w:val="22"/>
        </w:rPr>
        <w:instrText xml:space="preserve"> ADDIN EN.CITE &lt;EndNote&gt;&lt;Cite&gt;&lt;Author&gt;Gupta&lt;/Author&gt;&lt;Year&gt;2013&lt;/Year&gt;&lt;RecNum&gt;40&lt;/RecNum&gt;&lt;DisplayText&gt;[13]&lt;/DisplayText&gt;&lt;record&gt;&lt;rec-number&gt;40&lt;/rec-number&gt;&lt;foreign-keys&gt;&lt;key app="EN" db-id="dtvfvp55j2tw0ned5ruxvv51zwdxaxr9wft0" timestamp="1435773477"&gt;40&lt;/key&gt;&lt;/foreign-keys&gt;&lt;ref-type name="Journal Article"&gt;17&lt;/ref-type&gt;&lt;contributors&gt;&lt;authors&gt;&lt;author&gt;Gupta, Rajat&lt;/author&gt;&lt;author&gt;Gregg, Matt&lt;/author&gt;&lt;/authors&gt;&lt;/contributors&gt;&lt;titles&gt;&lt;title&gt;Preventing the overheating of English suburban homes in a warming climate&lt;/title&gt;&lt;secondary-title&gt;Building Research &amp;amp; Information&lt;/secondary-title&gt;&lt;/titles&gt;&lt;periodical&gt;&lt;full-title&gt;Building Research &amp;amp; Information&lt;/full-title&gt;&lt;/periodical&gt;&lt;pages&gt;281-300&lt;/pages&gt;&lt;volume&gt;41&lt;/volume&gt;&lt;number&gt;3&lt;/number&gt;&lt;dates&gt;&lt;year&gt;2013&lt;/year&gt;&lt;/dates&gt;&lt;isbn&gt;0961-3218&lt;/isbn&gt;&lt;urls&gt;&lt;/urls&gt;&lt;/record&gt;&lt;/Cite&gt;&lt;/EndNote&gt;</w:instrText>
      </w:r>
      <w:r w:rsidRPr="00186ACC">
        <w:rPr>
          <w:rFonts w:asciiTheme="minorHAnsi" w:hAnsiTheme="minorHAnsi"/>
          <w:sz w:val="22"/>
          <w:szCs w:val="22"/>
        </w:rPr>
        <w:fldChar w:fldCharType="separate"/>
      </w:r>
      <w:r w:rsidR="00704A4F" w:rsidRPr="00186ACC">
        <w:rPr>
          <w:rFonts w:asciiTheme="minorHAnsi" w:hAnsiTheme="minorHAnsi"/>
          <w:noProof/>
          <w:sz w:val="22"/>
          <w:szCs w:val="22"/>
        </w:rPr>
        <w:t>[13]</w:t>
      </w:r>
      <w:r w:rsidRPr="00186ACC">
        <w:rPr>
          <w:rFonts w:asciiTheme="minorHAnsi" w:hAnsiTheme="minorHAnsi"/>
          <w:sz w:val="22"/>
          <w:szCs w:val="22"/>
        </w:rPr>
        <w:fldChar w:fldCharType="end"/>
      </w:r>
      <w:r w:rsidRPr="00186ACC">
        <w:rPr>
          <w:rFonts w:asciiTheme="minorHAnsi" w:hAnsiTheme="minorHAnsi"/>
          <w:sz w:val="22"/>
          <w:szCs w:val="22"/>
        </w:rPr>
        <w:t xml:space="preserve"> and in newer high-performing dwellings </w:t>
      </w:r>
      <w:r w:rsidRPr="00186ACC">
        <w:rPr>
          <w:rFonts w:asciiTheme="minorHAnsi" w:hAnsiTheme="minorHAnsi"/>
          <w:sz w:val="22"/>
          <w:szCs w:val="22"/>
        </w:rPr>
        <w:fldChar w:fldCharType="begin"/>
      </w:r>
      <w:r w:rsidR="00704A4F" w:rsidRPr="001D63DF">
        <w:rPr>
          <w:rFonts w:asciiTheme="minorHAnsi" w:hAnsiTheme="minorHAnsi"/>
          <w:sz w:val="22"/>
          <w:szCs w:val="22"/>
        </w:rPr>
        <w:instrText xml:space="preserve"> ADDIN EN.CITE &lt;EndNote&gt;&lt;Cite&gt;&lt;Author&gt;McLeod&lt;/Author&gt;&lt;Year&gt;2013&lt;/Year&gt;&lt;RecNum&gt;12&lt;/RecNum&gt;&lt;DisplayText&gt;[14, 15]&lt;/DisplayText&gt;&lt;record&gt;&lt;rec-number&gt;12&lt;/rec-number&gt;&lt;foreign-keys&gt;&lt;key app="EN" db-id="dtvfvp55j2tw0ned5ruxvv51zwdxaxr9wft0" timestamp="1435772678"&gt;12&lt;/key&gt;&lt;/foreign-keys&gt;&lt;ref-type name="Journal Article"&gt;17&lt;/ref-type&gt;&lt;contributors&gt;&lt;authors&gt;&lt;author&gt;McLeod, Robert S&lt;/author&gt;&lt;author&gt;Hopfe, Christina J&lt;/author&gt;&lt;author&gt;Kwan, Alan&lt;/author&gt;&lt;/authors&gt;&lt;/contributors&gt;&lt;titles&gt;&lt;title&gt;An investigation into future performance and overheating risks in Passivhaus dwellings&lt;/title&gt;&lt;secondary-title&gt;Building and Environment&lt;/secondary-title&gt;&lt;/titles&gt;&lt;periodical&gt;&lt;full-title&gt;Building and Environment&lt;/full-title&gt;&lt;/periodical&gt;&lt;pages&gt;189-209&lt;/pages&gt;&lt;volume&gt;70&lt;/volume&gt;&lt;number&gt;December&lt;/number&gt;&lt;dates&gt;&lt;year&gt;2013&lt;/year&gt;&lt;pub-dates&gt;&lt;date&gt;December 2013&lt;/date&gt;&lt;/pub-dates&gt;&lt;/dates&gt;&lt;isbn&gt;0360-1323&lt;/isbn&gt;&lt;urls&gt;&lt;/urls&gt;&lt;/record&gt;&lt;/Cite&gt;&lt;Cite&gt;&lt;Author&gt;Simone&lt;/Author&gt;&lt;Year&gt;2014&lt;/Year&gt;&lt;RecNum&gt;253&lt;/RecNum&gt;&lt;record&gt;&lt;rec-number&gt;253&lt;/rec-number&gt;&lt;foreign-keys&gt;&lt;key app="EN" db-id="dtvfvp55j2tw0ned5ruxvv51zwdxaxr9wft0" timestamp="1492778567"&gt;253&lt;/key&gt;&lt;/foreign-keys&gt;&lt;ref-type name="Conference Proceedings"&gt;10&lt;/ref-type&gt;&lt;contributors&gt;&lt;authors&gt;&lt;author&gt;Simone, Angela&lt;/author&gt;&lt;author&gt;AVANTAGGIAT, M&lt;/author&gt;&lt;author&gt;De Carli, Michele&lt;/author&gt;&lt;author&gt;Olesen, Bjarne W&lt;/author&gt;&lt;/authors&gt;&lt;/contributors&gt;&lt;titles&gt;&lt;title&gt;Effect of passive cooling strategies on overheating in low energy residential buildings for Danish climate&lt;/title&gt;&lt;secondary-title&gt;8th Windsor Conference: counting the cost of Comfort in a changing world&lt;/secondary-title&gt;&lt;/titles&gt;&lt;pages&gt;10-13&lt;/pages&gt;&lt;dates&gt;&lt;year&gt;2014&lt;/year&gt;&lt;/dates&gt;&lt;urls&gt;&lt;/urls&gt;&lt;/record&gt;&lt;/Cite&gt;&lt;/EndNote&gt;</w:instrText>
      </w:r>
      <w:r w:rsidRPr="00186ACC">
        <w:rPr>
          <w:rFonts w:asciiTheme="minorHAnsi" w:hAnsiTheme="minorHAnsi"/>
          <w:sz w:val="22"/>
          <w:szCs w:val="22"/>
        </w:rPr>
        <w:fldChar w:fldCharType="separate"/>
      </w:r>
      <w:r w:rsidR="00704A4F" w:rsidRPr="00186ACC">
        <w:rPr>
          <w:rFonts w:asciiTheme="minorHAnsi" w:hAnsiTheme="minorHAnsi"/>
          <w:noProof/>
          <w:sz w:val="22"/>
          <w:szCs w:val="22"/>
        </w:rPr>
        <w:t>[14, 15]</w:t>
      </w:r>
      <w:r w:rsidRPr="00186ACC">
        <w:rPr>
          <w:rFonts w:asciiTheme="minorHAnsi" w:hAnsiTheme="minorHAnsi"/>
          <w:sz w:val="22"/>
          <w:szCs w:val="22"/>
        </w:rPr>
        <w:fldChar w:fldCharType="end"/>
      </w:r>
      <w:r w:rsidRPr="00186ACC">
        <w:rPr>
          <w:rFonts w:asciiTheme="minorHAnsi" w:hAnsiTheme="minorHAnsi"/>
          <w:sz w:val="22"/>
          <w:szCs w:val="22"/>
        </w:rPr>
        <w:t>. A number of studies have also demonstrated present-day monitored overheating or summer ‘discomfort’</w:t>
      </w:r>
      <w:r w:rsidRPr="001D63DF">
        <w:rPr>
          <w:rFonts w:asciiTheme="minorHAnsi" w:hAnsiTheme="minorHAnsi"/>
          <w:sz w:val="22"/>
          <w:szCs w:val="22"/>
        </w:rPr>
        <w:t xml:space="preserve"> in existing dwellings  and newly built dwellings </w:t>
      </w:r>
      <w:r w:rsidRPr="00186ACC">
        <w:rPr>
          <w:rFonts w:asciiTheme="minorHAnsi" w:hAnsiTheme="minorHAnsi"/>
          <w:sz w:val="22"/>
          <w:szCs w:val="22"/>
        </w:rPr>
        <w:fldChar w:fldCharType="begin"/>
      </w:r>
      <w:r w:rsidR="00704A4F" w:rsidRPr="001D63DF">
        <w:rPr>
          <w:rFonts w:asciiTheme="minorHAnsi" w:hAnsiTheme="minorHAnsi"/>
          <w:sz w:val="22"/>
          <w:szCs w:val="22"/>
        </w:rPr>
        <w:instrText xml:space="preserve"> ADDIN EN.CITE &lt;EndNote&gt;&lt;Cite&gt;&lt;Author&gt;Sameni&lt;/Author&gt;&lt;Year&gt;2015&lt;/Year&gt;&lt;RecNum&gt;146&lt;/RecNum&gt;&lt;DisplayText&gt;[16]&lt;/DisplayText&gt;&lt;record&gt;&lt;rec-number&gt;146&lt;/rec-number&gt;&lt;foreign-keys&gt;&lt;key app="EN" db-id="dtvfvp55j2tw0ned5ruxvv51zwdxaxr9wft0" timestamp="1490888950"&gt;146&lt;/key&gt;&lt;/foreign-keys&gt;&lt;ref-type name="Journal Article"&gt;17&lt;/ref-type&gt;&lt;contributors&gt;&lt;authors&gt;&lt;author&gt;Sameni, Seyed Masoud Tabatabaei&lt;/author&gt;&lt;author&gt;Gaterell, Mark&lt;/author&gt;&lt;author&gt;Montazami, Azadeh&lt;/author&gt;&lt;author&gt;Ahmed, Abdullahi&lt;/author&gt;&lt;/authors&gt;&lt;/contributors&gt;&lt;titles&gt;&lt;title&gt;Overheating investigation in UK social housing flats built to the Passivhaus standard&lt;/title&gt;&lt;secondary-title&gt;Building and Environment&lt;/secondary-title&gt;&lt;/titles&gt;&lt;periodical&gt;&lt;full-title&gt;Building and Environment&lt;/full-title&gt;&lt;/periodical&gt;&lt;pages&gt;222-235&lt;/pages&gt;&lt;volume&gt;92&lt;/volume&gt;&lt;number&gt;October&lt;/number&gt;&lt;dates&gt;&lt;year&gt;2015&lt;/year&gt;&lt;/dates&gt;&lt;isbn&gt;0360-1323&lt;/isbn&gt;&lt;urls&gt;&lt;/urls&gt;&lt;/record&gt;&lt;/Cite&gt;&lt;/EndNote&gt;</w:instrText>
      </w:r>
      <w:r w:rsidRPr="00186ACC">
        <w:rPr>
          <w:rFonts w:asciiTheme="minorHAnsi" w:hAnsiTheme="minorHAnsi"/>
          <w:sz w:val="22"/>
          <w:szCs w:val="22"/>
        </w:rPr>
        <w:fldChar w:fldCharType="separate"/>
      </w:r>
      <w:r w:rsidR="00704A4F" w:rsidRPr="00186ACC">
        <w:rPr>
          <w:rFonts w:asciiTheme="minorHAnsi" w:hAnsiTheme="minorHAnsi"/>
          <w:noProof/>
          <w:sz w:val="22"/>
          <w:szCs w:val="22"/>
        </w:rPr>
        <w:t>[16]</w:t>
      </w:r>
      <w:r w:rsidRPr="00186ACC">
        <w:rPr>
          <w:rFonts w:asciiTheme="minorHAnsi" w:hAnsiTheme="minorHAnsi"/>
          <w:sz w:val="22"/>
          <w:szCs w:val="22"/>
        </w:rPr>
        <w:fldChar w:fldCharType="end"/>
      </w:r>
      <w:r w:rsidRPr="00186ACC">
        <w:rPr>
          <w:rFonts w:asciiTheme="minorHAnsi" w:hAnsiTheme="minorHAnsi"/>
          <w:sz w:val="22"/>
          <w:szCs w:val="22"/>
        </w:rPr>
        <w:t xml:space="preserve"> in the UK</w:t>
      </w:r>
      <w:r w:rsidR="00777CD0" w:rsidRPr="00186ACC">
        <w:rPr>
          <w:rFonts w:asciiTheme="minorHAnsi" w:hAnsiTheme="minorHAnsi"/>
          <w:sz w:val="22"/>
          <w:szCs w:val="22"/>
        </w:rPr>
        <w:t>,</w:t>
      </w:r>
      <w:r w:rsidRPr="00186ACC">
        <w:rPr>
          <w:rFonts w:asciiTheme="minorHAnsi" w:hAnsiTheme="minorHAnsi"/>
          <w:sz w:val="22"/>
          <w:szCs w:val="22"/>
        </w:rPr>
        <w:t xml:space="preserve"> and abroad, in Denmark </w:t>
      </w:r>
      <w:r w:rsidRPr="00186ACC">
        <w:rPr>
          <w:rFonts w:asciiTheme="minorHAnsi" w:hAnsiTheme="minorHAnsi"/>
          <w:sz w:val="22"/>
          <w:szCs w:val="22"/>
        </w:rPr>
        <w:fldChar w:fldCharType="begin"/>
      </w:r>
      <w:r w:rsidR="00704A4F" w:rsidRPr="001D63DF">
        <w:rPr>
          <w:rFonts w:asciiTheme="minorHAnsi" w:hAnsiTheme="minorHAnsi"/>
          <w:sz w:val="22"/>
          <w:szCs w:val="22"/>
        </w:rPr>
        <w:instrText xml:space="preserve"> ADDIN EN.CITE &lt;EndNote&gt;&lt;Cite&gt;&lt;Author&gt;Larsen&lt;/Author&gt;&lt;Year&gt;2011&lt;/Year&gt;&lt;RecNum&gt;147&lt;/RecNum&gt;&lt;DisplayText&gt;[17]&lt;/DisplayText&gt;&lt;record&gt;&lt;rec-number&gt;147&lt;/rec-number&gt;&lt;foreign-keys&gt;&lt;key app="EN" db-id="dtvfvp55j2tw0ned5ruxvv51zwdxaxr9wft0" timestamp="1490890243"&gt;147&lt;/key&gt;&lt;/foreign-keys&gt;&lt;ref-type name="Conference Proceedings"&gt;10&lt;/ref-type&gt;&lt;contributors&gt;&lt;authors&gt;&lt;author&gt;Larsen, Tine Steen&lt;/author&gt;&lt;author&gt;Jensen, Rasmus Lund&lt;/author&gt;&lt;/authors&gt;&lt;/contributors&gt;&lt;titles&gt;&lt;title&gt;Comparison of measured and calculated values for the indoor environment in one of the first Danish passive houses&lt;/title&gt;&lt;secondary-title&gt;12th Conference of International Building Performance Simulation Association&lt;/secondary-title&gt;&lt;/titles&gt;&lt;pages&gt;1414-1421&lt;/pages&gt;&lt;dates&gt;&lt;year&gt;2011&lt;/year&gt;&lt;pub-dates&gt;&lt;date&gt;14-16 November&lt;/date&gt;&lt;/pub-dates&gt;&lt;/dates&gt;&lt;pub-location&gt;Sydney&lt;/pub-location&gt;&lt;urls&gt;&lt;related-urls&gt;&lt;url&gt;http://www.ibpsa.org/proceedings/BS2011/P_1475.pdf&lt;/url&gt;&lt;/related-urls&gt;&lt;/urls&gt;&lt;custom2&gt;2011&lt;/custom2&gt;&lt;custom3&gt;Proceedings of Building Simulation 2011&lt;/custom3&gt;&lt;/record&gt;&lt;/Cite&gt;&lt;/EndNote&gt;</w:instrText>
      </w:r>
      <w:r w:rsidRPr="00186ACC">
        <w:rPr>
          <w:rFonts w:asciiTheme="minorHAnsi" w:hAnsiTheme="minorHAnsi"/>
          <w:sz w:val="22"/>
          <w:szCs w:val="22"/>
        </w:rPr>
        <w:fldChar w:fldCharType="separate"/>
      </w:r>
      <w:r w:rsidR="00704A4F" w:rsidRPr="00186ACC">
        <w:rPr>
          <w:rFonts w:asciiTheme="minorHAnsi" w:hAnsiTheme="minorHAnsi"/>
          <w:noProof/>
          <w:sz w:val="22"/>
          <w:szCs w:val="22"/>
        </w:rPr>
        <w:t>[17]</w:t>
      </w:r>
      <w:r w:rsidRPr="00186ACC">
        <w:rPr>
          <w:rFonts w:asciiTheme="minorHAnsi" w:hAnsiTheme="minorHAnsi"/>
          <w:sz w:val="22"/>
          <w:szCs w:val="22"/>
        </w:rPr>
        <w:fldChar w:fldCharType="end"/>
      </w:r>
      <w:r w:rsidRPr="00186ACC">
        <w:rPr>
          <w:rFonts w:asciiTheme="minorHAnsi" w:hAnsiTheme="minorHAnsi"/>
          <w:sz w:val="22"/>
          <w:szCs w:val="22"/>
        </w:rPr>
        <w:t xml:space="preserve">, Sweden </w:t>
      </w:r>
      <w:r w:rsidRPr="00186ACC">
        <w:rPr>
          <w:rFonts w:asciiTheme="minorHAnsi" w:hAnsiTheme="minorHAnsi"/>
          <w:sz w:val="22"/>
          <w:szCs w:val="22"/>
        </w:rPr>
        <w:fldChar w:fldCharType="begin"/>
      </w:r>
      <w:r w:rsidR="00704A4F" w:rsidRPr="001D63DF">
        <w:rPr>
          <w:rFonts w:asciiTheme="minorHAnsi" w:hAnsiTheme="minorHAnsi"/>
          <w:sz w:val="22"/>
          <w:szCs w:val="22"/>
        </w:rPr>
        <w:instrText xml:space="preserve"> ADDIN EN.CITE &lt;EndNote&gt;&lt;Cite&gt;&lt;Author&gt;Ruud&lt;/Author&gt;&lt;Year&gt;2005&lt;/Year&gt;&lt;RecNum&gt;235&lt;/RecNum&gt;&lt;DisplayText&gt;[18]&lt;/DisplayText&gt;&lt;record&gt;&lt;rec-number&gt;235&lt;/rec-number&gt;&lt;foreign-keys&gt;&lt;key app="EN" db-id="dtvfvp55j2tw0ned5ruxvv51zwdxaxr9wft0" timestamp="1491331557"&gt;235&lt;/key&gt;&lt;/foreign-keys&gt;&lt;ref-type name="Conference Proceedings"&gt;10&lt;/ref-type&gt;&lt;contributors&gt;&lt;authors&gt;&lt;author&gt;Ruud, Svein H&lt;/author&gt;&lt;author&gt;Lundin, L&lt;/author&gt;&lt;author&gt;Sandberg, M&lt;/author&gt;&lt;author&gt;Nielsen, J&lt;/author&gt;&lt;author&gt;Wahlström, A&lt;/author&gt;&lt;author&gt;Törnström, T&lt;/author&gt;&lt;author&gt;Kovacs, P&lt;/author&gt;&lt;/authors&gt;&lt;/contributors&gt;&lt;titles&gt;&lt;title&gt;Houses without a traditional heating system–results from two years of measurement&lt;/title&gt;&lt;secondary-title&gt;World Sustainable Building Conference, Tokyo&lt;/secondary-title&gt;&lt;/titles&gt;&lt;pages&gt;1143-1150&lt;/pages&gt;&lt;dates&gt;&lt;year&gt;2005&lt;/year&gt;&lt;pub-dates&gt;&lt;date&gt;27-29 September&lt;/date&gt;&lt;/pub-dates&gt;&lt;/dates&gt;&lt;pub-location&gt;Tokyo&lt;/pub-location&gt;&lt;urls&gt;&lt;related-urls&gt;&lt;url&gt;https://www.irbnet.de/daten/iconda/CIB3635.pdf&lt;/url&gt;&lt;/related-urls&gt;&lt;/urls&gt;&lt;custom2&gt;2005&lt;/custom2&gt;&lt;custom3&gt;The 2005 World Sustainable Building Conference&lt;/custom3&gt;&lt;/record&gt;&lt;/Cite&gt;&lt;/EndNote&gt;</w:instrText>
      </w:r>
      <w:r w:rsidRPr="00186ACC">
        <w:rPr>
          <w:rFonts w:asciiTheme="minorHAnsi" w:hAnsiTheme="minorHAnsi"/>
          <w:sz w:val="22"/>
          <w:szCs w:val="22"/>
        </w:rPr>
        <w:fldChar w:fldCharType="separate"/>
      </w:r>
      <w:r w:rsidR="00704A4F" w:rsidRPr="00186ACC">
        <w:rPr>
          <w:rFonts w:asciiTheme="minorHAnsi" w:hAnsiTheme="minorHAnsi"/>
          <w:noProof/>
          <w:sz w:val="22"/>
          <w:szCs w:val="22"/>
        </w:rPr>
        <w:t>[18]</w:t>
      </w:r>
      <w:r w:rsidRPr="00186ACC">
        <w:rPr>
          <w:rFonts w:asciiTheme="minorHAnsi" w:hAnsiTheme="minorHAnsi"/>
          <w:sz w:val="22"/>
          <w:szCs w:val="22"/>
        </w:rPr>
        <w:fldChar w:fldCharType="end"/>
      </w:r>
      <w:r w:rsidRPr="00186ACC">
        <w:rPr>
          <w:rFonts w:asciiTheme="minorHAnsi" w:hAnsiTheme="minorHAnsi"/>
          <w:sz w:val="22"/>
          <w:szCs w:val="22"/>
        </w:rPr>
        <w:t xml:space="preserve"> and Estonia </w:t>
      </w:r>
      <w:r w:rsidRPr="00186ACC">
        <w:rPr>
          <w:rFonts w:asciiTheme="minorHAnsi" w:hAnsiTheme="minorHAnsi"/>
          <w:sz w:val="22"/>
          <w:szCs w:val="22"/>
        </w:rPr>
        <w:fldChar w:fldCharType="begin"/>
      </w:r>
      <w:r w:rsidR="00704A4F" w:rsidRPr="001D63DF">
        <w:rPr>
          <w:rFonts w:asciiTheme="minorHAnsi" w:hAnsiTheme="minorHAnsi"/>
          <w:sz w:val="22"/>
          <w:szCs w:val="22"/>
        </w:rPr>
        <w:instrText xml:space="preserve"> ADDIN EN.CITE &lt;EndNote&gt;&lt;Cite&gt;&lt;Author&gt;Maivel&lt;/Author&gt;&lt;Year&gt;2015&lt;/Year&gt;&lt;RecNum&gt;149&lt;/RecNum&gt;&lt;DisplayText&gt;[19]&lt;/DisplayText&gt;&lt;record&gt;&lt;rec-number&gt;149&lt;/rec-number&gt;&lt;foreign-keys&gt;&lt;key app="EN" db-id="dtvfvp55j2tw0ned5ruxvv51zwdxaxr9wft0" timestamp="1490890471"&gt;149&lt;/key&gt;&lt;/foreign-keys&gt;&lt;ref-type name="Journal Article"&gt;17&lt;/ref-type&gt;&lt;contributors&gt;&lt;authors&gt;&lt;author&gt;Maivel, Mikk&lt;/author&gt;&lt;author&gt;Kurnitski, Jarek&lt;/author&gt;&lt;author&gt;Kalamees, Targo&lt;/author&gt;&lt;/authors&gt;&lt;/contributors&gt;&lt;titles&gt;&lt;title&gt;Field survey of overheating problems in Estonian apartment buildings&lt;/title&gt;&lt;secondary-title&gt;Architectural Science Review&lt;/secondary-title&gt;&lt;/titles&gt;&lt;periodical&gt;&lt;full-title&gt;Architectural Science Review&lt;/full-title&gt;&lt;/periodical&gt;&lt;pages&gt;1-10&lt;/pages&gt;&lt;volume&gt;58&lt;/volume&gt;&lt;number&gt;1&lt;/number&gt;&lt;dates&gt;&lt;year&gt;2015&lt;/year&gt;&lt;/dates&gt;&lt;isbn&gt;0003-8628&lt;/isbn&gt;&lt;urls&gt;&lt;/urls&gt;&lt;/record&gt;&lt;/Cite&gt;&lt;/EndNote&gt;</w:instrText>
      </w:r>
      <w:r w:rsidRPr="00186ACC">
        <w:rPr>
          <w:rFonts w:asciiTheme="minorHAnsi" w:hAnsiTheme="minorHAnsi"/>
          <w:sz w:val="22"/>
          <w:szCs w:val="22"/>
        </w:rPr>
        <w:fldChar w:fldCharType="separate"/>
      </w:r>
      <w:r w:rsidR="00704A4F" w:rsidRPr="00186ACC">
        <w:rPr>
          <w:rFonts w:asciiTheme="minorHAnsi" w:hAnsiTheme="minorHAnsi"/>
          <w:noProof/>
          <w:sz w:val="22"/>
          <w:szCs w:val="22"/>
        </w:rPr>
        <w:t>[19]</w:t>
      </w:r>
      <w:r w:rsidRPr="00186ACC">
        <w:rPr>
          <w:rFonts w:asciiTheme="minorHAnsi" w:hAnsiTheme="minorHAnsi"/>
          <w:sz w:val="22"/>
          <w:szCs w:val="22"/>
        </w:rPr>
        <w:fldChar w:fldCharType="end"/>
      </w:r>
      <w:r w:rsidRPr="00186ACC">
        <w:rPr>
          <w:rFonts w:asciiTheme="minorHAnsi" w:hAnsiTheme="minorHAnsi"/>
          <w:sz w:val="22"/>
          <w:szCs w:val="22"/>
        </w:rPr>
        <w:t xml:space="preserve">. Within these studies the propensity to overheat is much greater in newer dwellings, e.g. </w:t>
      </w:r>
      <w:proofErr w:type="spellStart"/>
      <w:r w:rsidRPr="00186ACC">
        <w:rPr>
          <w:rFonts w:asciiTheme="minorHAnsi" w:hAnsiTheme="minorHAnsi"/>
          <w:sz w:val="22"/>
          <w:szCs w:val="22"/>
        </w:rPr>
        <w:t>passivhaus</w:t>
      </w:r>
      <w:proofErr w:type="spellEnd"/>
      <w:r w:rsidRPr="00186ACC">
        <w:rPr>
          <w:rFonts w:asciiTheme="minorHAnsi" w:hAnsiTheme="minorHAnsi"/>
          <w:sz w:val="22"/>
          <w:szCs w:val="22"/>
        </w:rPr>
        <w:t xml:space="preserve"> designed dwellings, and particularly in flats. It is important to note that overheating is defined slightly differently from region to region, however, there is r</w:t>
      </w:r>
      <w:r w:rsidRPr="001D63DF">
        <w:rPr>
          <w:rFonts w:asciiTheme="minorHAnsi" w:hAnsiTheme="minorHAnsi"/>
          <w:sz w:val="22"/>
          <w:szCs w:val="22"/>
        </w:rPr>
        <w:t>oughly an agreement that surpassing hours at 26-27</w:t>
      </w:r>
      <w:r w:rsidRPr="001D63DF">
        <w:rPr>
          <w:rFonts w:asciiTheme="minorHAnsi" w:hAnsiTheme="minorHAnsi"/>
          <w:sz w:val="22"/>
          <w:szCs w:val="22"/>
          <w:vertAlign w:val="superscript"/>
        </w:rPr>
        <w:t>o</w:t>
      </w:r>
      <w:r w:rsidRPr="001D63DF">
        <w:rPr>
          <w:rFonts w:asciiTheme="minorHAnsi" w:hAnsiTheme="minorHAnsi"/>
          <w:sz w:val="22"/>
          <w:szCs w:val="22"/>
        </w:rPr>
        <w:t>C is problematic.</w:t>
      </w:r>
    </w:p>
    <w:p w:rsidR="00C904BB" w:rsidRDefault="007C6B8A" w:rsidP="001D63DF">
      <w:pPr>
        <w:pStyle w:val="Mainbodytext"/>
        <w:ind w:firstLine="0"/>
        <w:rPr>
          <w:sz w:val="22"/>
          <w:szCs w:val="22"/>
        </w:rPr>
      </w:pPr>
      <w:r w:rsidRPr="001D63DF">
        <w:rPr>
          <w:sz w:val="22"/>
          <w:szCs w:val="22"/>
        </w:rPr>
        <w:t xml:space="preserve">A number of studies link overheating in well-insulated buildings with </w:t>
      </w:r>
      <w:r w:rsidR="003D4951" w:rsidRPr="001D63DF">
        <w:rPr>
          <w:sz w:val="22"/>
          <w:szCs w:val="22"/>
        </w:rPr>
        <w:t>highly</w:t>
      </w:r>
      <w:r w:rsidRPr="001D63DF">
        <w:rPr>
          <w:sz w:val="22"/>
          <w:szCs w:val="22"/>
        </w:rPr>
        <w:t xml:space="preserve"> important factors being solar radiation </w:t>
      </w:r>
      <w:r w:rsidRPr="001D63DF">
        <w:rPr>
          <w:sz w:val="22"/>
          <w:szCs w:val="22"/>
        </w:rPr>
        <w:fldChar w:fldCharType="begin">
          <w:fldData xml:space="preserve">PEVuZE5vdGU+PENpdGU+PEF1dGhvcj5Pcm1lPC9BdXRob3I+PFllYXI+MjAwMzwvWWVhcj48UmVj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</w:fldData>
        </w:fldChar>
      </w:r>
      <w:r w:rsidR="00704A4F" w:rsidRPr="001D63DF">
        <w:rPr>
          <w:sz w:val="22"/>
          <w:szCs w:val="22"/>
        </w:rPr>
        <w:instrText xml:space="preserve"> ADDIN EN.CITE </w:instrText>
      </w:r>
      <w:r w:rsidR="00704A4F" w:rsidRPr="001D63DF">
        <w:rPr>
          <w:sz w:val="22"/>
          <w:szCs w:val="22"/>
        </w:rPr>
        <w:fldChar w:fldCharType="begin">
          <w:fldData xml:space="preserve">PEVuZE5vdGU+PENpdGU+PEF1dGhvcj5Pcm1lPC9BdXRob3I+PFllYXI+MjAwMzwvWWVhcj48UmVj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</w:fldData>
        </w:fldChar>
      </w:r>
      <w:r w:rsidR="00704A4F" w:rsidRPr="001D63DF">
        <w:rPr>
          <w:sz w:val="22"/>
          <w:szCs w:val="22"/>
        </w:rPr>
        <w:instrText xml:space="preserve"> ADDIN EN.CITE.DATA </w:instrText>
      </w:r>
      <w:r w:rsidR="00704A4F" w:rsidRPr="001D63DF">
        <w:rPr>
          <w:sz w:val="22"/>
          <w:szCs w:val="22"/>
        </w:rPr>
      </w:r>
      <w:r w:rsidR="00704A4F" w:rsidRPr="001D63DF">
        <w:rPr>
          <w:sz w:val="22"/>
          <w:szCs w:val="22"/>
        </w:rPr>
        <w:fldChar w:fldCharType="end"/>
      </w:r>
      <w:r w:rsidRPr="001D63DF">
        <w:rPr>
          <w:sz w:val="22"/>
          <w:szCs w:val="22"/>
        </w:rPr>
      </w:r>
      <w:r w:rsidRPr="001D63DF">
        <w:rPr>
          <w:sz w:val="22"/>
          <w:szCs w:val="22"/>
        </w:rPr>
        <w:fldChar w:fldCharType="separate"/>
      </w:r>
      <w:r w:rsidR="00704A4F" w:rsidRPr="001D63DF">
        <w:rPr>
          <w:noProof/>
          <w:sz w:val="22"/>
          <w:szCs w:val="22"/>
        </w:rPr>
        <w:t>[12, 15, 17, 20]</w:t>
      </w:r>
      <w:r w:rsidRPr="001D63DF">
        <w:rPr>
          <w:sz w:val="22"/>
          <w:szCs w:val="22"/>
        </w:rPr>
        <w:fldChar w:fldCharType="end"/>
      </w:r>
      <w:r w:rsidRPr="001D63DF">
        <w:rPr>
          <w:sz w:val="22"/>
          <w:szCs w:val="22"/>
        </w:rPr>
        <w:t xml:space="preserve"> and ventilation rate </w:t>
      </w:r>
      <w:r w:rsidRPr="001D63DF">
        <w:rPr>
          <w:sz w:val="22"/>
          <w:szCs w:val="22"/>
        </w:rPr>
        <w:fldChar w:fldCharType="begin">
          <w:fldData xml:space="preserve">PEVuZE5vdGU+PENpdGU+PEF1dGhvcj5Pcm1lPC9BdXRob3I+PFllYXI+MjAwMzwvWWVhcj48UmVj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</w:fldData>
        </w:fldChar>
      </w:r>
      <w:r w:rsidR="00704A4F" w:rsidRPr="001D63DF">
        <w:rPr>
          <w:sz w:val="22"/>
          <w:szCs w:val="22"/>
        </w:rPr>
        <w:instrText xml:space="preserve"> ADDIN EN.CITE </w:instrText>
      </w:r>
      <w:r w:rsidR="00704A4F" w:rsidRPr="001D63DF">
        <w:rPr>
          <w:sz w:val="22"/>
          <w:szCs w:val="22"/>
        </w:rPr>
        <w:fldChar w:fldCharType="begin">
          <w:fldData xml:space="preserve">PEVuZE5vdGU+PENpdGU+PEF1dGhvcj5Pcm1lPC9BdXRob3I+PFllYXI+MjAwMzwvWWVhcj48UmVj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</w:fldData>
        </w:fldChar>
      </w:r>
      <w:r w:rsidR="00704A4F" w:rsidRPr="001D63DF">
        <w:rPr>
          <w:sz w:val="22"/>
          <w:szCs w:val="22"/>
        </w:rPr>
        <w:instrText xml:space="preserve"> ADDIN EN.CITE.DATA </w:instrText>
      </w:r>
      <w:r w:rsidR="00704A4F" w:rsidRPr="001D63DF">
        <w:rPr>
          <w:sz w:val="22"/>
          <w:szCs w:val="22"/>
        </w:rPr>
      </w:r>
      <w:r w:rsidR="00704A4F" w:rsidRPr="001D63DF">
        <w:rPr>
          <w:sz w:val="22"/>
          <w:szCs w:val="22"/>
        </w:rPr>
        <w:fldChar w:fldCharType="end"/>
      </w:r>
      <w:r w:rsidRPr="001D63DF">
        <w:rPr>
          <w:sz w:val="22"/>
          <w:szCs w:val="22"/>
        </w:rPr>
      </w:r>
      <w:r w:rsidRPr="001D63DF">
        <w:rPr>
          <w:sz w:val="22"/>
          <w:szCs w:val="22"/>
        </w:rPr>
        <w:fldChar w:fldCharType="separate"/>
      </w:r>
      <w:r w:rsidR="00704A4F" w:rsidRPr="001D63DF">
        <w:rPr>
          <w:noProof/>
          <w:sz w:val="22"/>
          <w:szCs w:val="22"/>
        </w:rPr>
        <w:t>[12, 20, 21]</w:t>
      </w:r>
      <w:r w:rsidRPr="001D63DF">
        <w:rPr>
          <w:sz w:val="22"/>
          <w:szCs w:val="22"/>
        </w:rPr>
        <w:fldChar w:fldCharType="end"/>
      </w:r>
      <w:r w:rsidRPr="001D63DF">
        <w:rPr>
          <w:sz w:val="22"/>
          <w:szCs w:val="22"/>
        </w:rPr>
        <w:t xml:space="preserve">. </w:t>
      </w:r>
      <w:r w:rsidR="003D4951" w:rsidRPr="001D63DF">
        <w:rPr>
          <w:sz w:val="22"/>
          <w:szCs w:val="22"/>
        </w:rPr>
        <w:t xml:space="preserve">In response, highly effective adaptive responses </w:t>
      </w:r>
      <w:r w:rsidR="005E2042">
        <w:rPr>
          <w:sz w:val="22"/>
          <w:szCs w:val="22"/>
        </w:rPr>
        <w:t>include the following.</w:t>
      </w:r>
      <w:r w:rsidR="003D4951" w:rsidRPr="001D63DF">
        <w:rPr>
          <w:sz w:val="22"/>
          <w:szCs w:val="22"/>
        </w:rPr>
        <w:t xml:space="preserve"> </w:t>
      </w:r>
    </w:p>
    <w:p w:rsidR="00C904BB" w:rsidRDefault="005E2042" w:rsidP="00EF289E">
      <w:pPr>
        <w:pStyle w:val="Mainbodytext"/>
        <w:numPr>
          <w:ilvl w:val="0"/>
          <w:numId w:val="16"/>
        </w:numPr>
        <w:rPr>
          <w:sz w:val="22"/>
          <w:szCs w:val="22"/>
        </w:rPr>
      </w:pPr>
      <w:r w:rsidRPr="00EF289E">
        <w:rPr>
          <w:i/>
          <w:sz w:val="22"/>
          <w:szCs w:val="22"/>
        </w:rPr>
        <w:t>S</w:t>
      </w:r>
      <w:r w:rsidR="000251D6" w:rsidRPr="00EF289E">
        <w:rPr>
          <w:i/>
          <w:sz w:val="22"/>
          <w:szCs w:val="22"/>
        </w:rPr>
        <w:t>hading</w:t>
      </w:r>
      <w:r w:rsidR="000251D6" w:rsidRPr="001D63DF">
        <w:rPr>
          <w:sz w:val="22"/>
          <w:szCs w:val="22"/>
        </w:rPr>
        <w:t xml:space="preserve"> </w:t>
      </w:r>
      <w:r w:rsidR="000251D6" w:rsidRPr="001D63DF">
        <w:rPr>
          <w:sz w:val="22"/>
          <w:szCs w:val="22"/>
        </w:rPr>
        <w:fldChar w:fldCharType="begin">
          <w:fldData xml:space="preserve">PEVuZE5vdGU+PENpdGU+PEF1dGhvcj5HdXB0YTwvQXV0aG9yPjxZZWFyPjIwMTI8L1llYXI+PFJl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</w:fldData>
        </w:fldChar>
      </w:r>
      <w:r w:rsidR="00704A4F" w:rsidRPr="001D63DF">
        <w:rPr>
          <w:sz w:val="22"/>
          <w:szCs w:val="22"/>
        </w:rPr>
        <w:instrText xml:space="preserve"> ADDIN EN.CITE </w:instrText>
      </w:r>
      <w:r w:rsidR="00704A4F" w:rsidRPr="001D63DF">
        <w:rPr>
          <w:sz w:val="22"/>
          <w:szCs w:val="22"/>
        </w:rPr>
        <w:fldChar w:fldCharType="begin">
          <w:fldData xml:space="preserve">PEVuZE5vdGU+PENpdGU+PEF1dGhvcj5HdXB0YTwvQXV0aG9yPjxZZWFyPjIwMTI8L1llYXI+PFJl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</w:fldData>
        </w:fldChar>
      </w:r>
      <w:r w:rsidR="00704A4F" w:rsidRPr="001D63DF">
        <w:rPr>
          <w:sz w:val="22"/>
          <w:szCs w:val="22"/>
        </w:rPr>
        <w:instrText xml:space="preserve"> ADDIN EN.CITE.DATA </w:instrText>
      </w:r>
      <w:r w:rsidR="00704A4F" w:rsidRPr="001D63DF">
        <w:rPr>
          <w:sz w:val="22"/>
          <w:szCs w:val="22"/>
        </w:rPr>
      </w:r>
      <w:r w:rsidR="00704A4F" w:rsidRPr="001D63DF">
        <w:rPr>
          <w:sz w:val="22"/>
          <w:szCs w:val="22"/>
        </w:rPr>
        <w:fldChar w:fldCharType="end"/>
      </w:r>
      <w:r w:rsidR="000251D6" w:rsidRPr="001D63DF">
        <w:rPr>
          <w:sz w:val="22"/>
          <w:szCs w:val="22"/>
        </w:rPr>
      </w:r>
      <w:r w:rsidR="000251D6" w:rsidRPr="001D63DF">
        <w:rPr>
          <w:sz w:val="22"/>
          <w:szCs w:val="22"/>
        </w:rPr>
        <w:fldChar w:fldCharType="separate"/>
      </w:r>
      <w:r w:rsidR="00704A4F" w:rsidRPr="001D63DF">
        <w:rPr>
          <w:noProof/>
          <w:sz w:val="22"/>
          <w:szCs w:val="22"/>
        </w:rPr>
        <w:t>[12, 22]</w:t>
      </w:r>
      <w:r w:rsidR="000251D6" w:rsidRPr="001D63DF">
        <w:rPr>
          <w:sz w:val="22"/>
          <w:szCs w:val="22"/>
        </w:rPr>
        <w:fldChar w:fldCharType="end"/>
      </w:r>
      <w:r>
        <w:rPr>
          <w:sz w:val="22"/>
          <w:szCs w:val="22"/>
        </w:rPr>
        <w:t>,</w:t>
      </w:r>
      <w:r w:rsidR="001276A2">
        <w:rPr>
          <w:sz w:val="22"/>
          <w:szCs w:val="22"/>
        </w:rPr>
        <w:t xml:space="preserve"> where the purpose is to limit or exclude incident solar gain on building fabric or </w:t>
      </w:r>
      <w:r w:rsidR="004C120E">
        <w:rPr>
          <w:sz w:val="22"/>
          <w:szCs w:val="22"/>
        </w:rPr>
        <w:t>entering through glazing.</w:t>
      </w:r>
      <w:r w:rsidR="000251D6" w:rsidRPr="001D63DF">
        <w:rPr>
          <w:sz w:val="22"/>
          <w:szCs w:val="22"/>
        </w:rPr>
        <w:t xml:space="preserve"> </w:t>
      </w:r>
      <w:r>
        <w:rPr>
          <w:sz w:val="22"/>
          <w:szCs w:val="22"/>
        </w:rPr>
        <w:t xml:space="preserve">The effectiveness of shading is in design, considering orientation and seasonal changes, and it can be highly flexible; shading can be fixed, manually controlled or automated. </w:t>
      </w:r>
    </w:p>
    <w:p w:rsidR="00C904BB" w:rsidRDefault="004C120E" w:rsidP="00EF289E">
      <w:pPr>
        <w:pStyle w:val="Mainbodytext"/>
        <w:numPr>
          <w:ilvl w:val="0"/>
          <w:numId w:val="16"/>
        </w:numPr>
        <w:rPr>
          <w:sz w:val="22"/>
          <w:szCs w:val="22"/>
        </w:rPr>
      </w:pPr>
      <w:r w:rsidRPr="00EF289E">
        <w:rPr>
          <w:i/>
          <w:sz w:val="22"/>
          <w:szCs w:val="22"/>
        </w:rPr>
        <w:t>H</w:t>
      </w:r>
      <w:r w:rsidR="000251D6" w:rsidRPr="00EF289E">
        <w:rPr>
          <w:i/>
          <w:sz w:val="22"/>
          <w:szCs w:val="22"/>
        </w:rPr>
        <w:t>igh albedo surfac</w:t>
      </w:r>
      <w:r w:rsidRPr="00EF289E">
        <w:rPr>
          <w:i/>
          <w:sz w:val="22"/>
          <w:szCs w:val="22"/>
        </w:rPr>
        <w:t>ing</w:t>
      </w:r>
      <w:r w:rsidR="000251D6" w:rsidRPr="001D63DF">
        <w:rPr>
          <w:sz w:val="22"/>
          <w:szCs w:val="22"/>
        </w:rPr>
        <w:t xml:space="preserve"> </w:t>
      </w:r>
      <w:r w:rsidR="000251D6" w:rsidRPr="001D63DF">
        <w:rPr>
          <w:sz w:val="22"/>
          <w:szCs w:val="22"/>
        </w:rPr>
        <w:fldChar w:fldCharType="begin"/>
      </w:r>
      <w:r w:rsidR="00704A4F" w:rsidRPr="001D63DF">
        <w:rPr>
          <w:sz w:val="22"/>
          <w:szCs w:val="22"/>
        </w:rPr>
        <w:instrText xml:space="preserve"> ADDIN EN.CITE &lt;EndNote&gt;&lt;Cite&gt;&lt;Author&gt;Gupta&lt;/Author&gt;&lt;Year&gt;2012&lt;/Year&gt;&lt;RecNum&gt;2&lt;/RecNum&gt;&lt;DisplayText&gt;[12]&lt;/DisplayText&gt;&lt;record&gt;&lt;rec-number&gt;2&lt;/rec-number&gt;&lt;foreign-keys&gt;&lt;key app="EN" db-id="dtvfvp55j2tw0ned5ruxvv51zwdxaxr9wft0" timestamp="1435770615"&gt;2&lt;/key&gt;&lt;/foreign-keys&gt;&lt;ref-type name="Journal Article"&gt;17&lt;/ref-type&gt;&lt;contributors&gt;&lt;authors&gt;&lt;author&gt;Gupta, Rajat&lt;/author&gt;&lt;author&gt;Gregg, Matthew&lt;/author&gt;&lt;/authors&gt;&lt;/contributors&gt;&lt;titles&gt;&lt;title&gt;Using UK climate change projections to adapt existing English homes for a warming climate&lt;/title&gt;&lt;secondary-title&gt;Building and Environment&lt;/secondary-title&gt;&lt;/titles&gt;&lt;periodical&gt;&lt;full-title&gt;Building and Environment&lt;/full-title&gt;&lt;/periodical&gt;&lt;pages&gt;20-42&lt;/pages&gt;&lt;volume&gt;55&lt;/volume&gt;&lt;number&gt;September&lt;/number&gt;&lt;keywords&gt;&lt;keyword&gt;Climate change&lt;/keyword&gt;&lt;keyword&gt;Overheating&lt;/keyword&gt;&lt;keyword&gt;Adaptation&lt;/keyword&gt;&lt;keyword&gt;Mitigation&lt;/keyword&gt;&lt;keyword&gt;Suburban housing&lt;/keyword&gt;&lt;/keywords&gt;&lt;dates&gt;&lt;year&gt;2012&lt;/year&gt;&lt;pub-dates&gt;&lt;date&gt;9//&lt;/date&gt;&lt;/pub-dates&gt;&lt;/dates&gt;&lt;isbn&gt;0360-1323&lt;/isbn&gt;&lt;urls&gt;&lt;related-urls&gt;&lt;url&gt;http://www.sciencedirect.com/science/article/pii/S0360132312000236&lt;/url&gt;&lt;/related-urls&gt;&lt;/urls&gt;&lt;electronic-resource-num&gt;http://dx.doi.org/10.1016/j.buildenv.2012.01.014&lt;/electronic-resource-num&gt;&lt;/record&gt;&lt;/Cite&gt;&lt;/EndNote&gt;</w:instrText>
      </w:r>
      <w:r w:rsidR="000251D6" w:rsidRPr="001D63DF">
        <w:rPr>
          <w:sz w:val="22"/>
          <w:szCs w:val="22"/>
        </w:rPr>
        <w:fldChar w:fldCharType="separate"/>
      </w:r>
      <w:r w:rsidR="00704A4F" w:rsidRPr="001D63DF">
        <w:rPr>
          <w:noProof/>
          <w:sz w:val="22"/>
          <w:szCs w:val="22"/>
        </w:rPr>
        <w:t>[12]</w:t>
      </w:r>
      <w:r w:rsidR="000251D6" w:rsidRPr="001D63DF">
        <w:rPr>
          <w:sz w:val="22"/>
          <w:szCs w:val="22"/>
        </w:rPr>
        <w:fldChar w:fldCharType="end"/>
      </w:r>
      <w:r>
        <w:rPr>
          <w:sz w:val="22"/>
          <w:szCs w:val="22"/>
        </w:rPr>
        <w:t xml:space="preserve"> of walls and roofs can reduce the heat gain and retention from incident solar radiation; a method commonly used in warmer climates. High albedo surfaces can also be considered for surrounding hardscaped surfaces to further contribute to reduction of the urban heat island effect. </w:t>
      </w:r>
    </w:p>
    <w:p w:rsidR="006C2A9D" w:rsidRDefault="004C120E" w:rsidP="00EF289E">
      <w:pPr>
        <w:pStyle w:val="Mainbodytext"/>
        <w:numPr>
          <w:ilvl w:val="0"/>
          <w:numId w:val="16"/>
        </w:numPr>
        <w:rPr>
          <w:sz w:val="22"/>
          <w:szCs w:val="22"/>
        </w:rPr>
      </w:pPr>
      <w:r w:rsidRPr="00EF289E">
        <w:rPr>
          <w:i/>
          <w:sz w:val="22"/>
          <w:szCs w:val="22"/>
        </w:rPr>
        <w:t>N</w:t>
      </w:r>
      <w:r w:rsidR="000251D6" w:rsidRPr="00EF289E">
        <w:rPr>
          <w:i/>
          <w:sz w:val="22"/>
          <w:szCs w:val="22"/>
        </w:rPr>
        <w:t>ight-time ventilation</w:t>
      </w:r>
      <w:r w:rsidR="00067D3E" w:rsidRPr="001D63DF">
        <w:rPr>
          <w:sz w:val="22"/>
          <w:szCs w:val="22"/>
        </w:rPr>
        <w:t xml:space="preserve"> </w:t>
      </w:r>
      <w:r w:rsidR="00067D3E" w:rsidRPr="001D63DF">
        <w:rPr>
          <w:sz w:val="22"/>
          <w:szCs w:val="22"/>
        </w:rPr>
        <w:fldChar w:fldCharType="begin">
          <w:fldData xml:space="preserve">PEVuZE5vdGU+PENpdGU+PEF1dGhvcj5HdXB0YTwvQXV0aG9yPjxZZWFyPjIwMTY8L1llYXI+PFJl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</w:fldData>
        </w:fldChar>
      </w:r>
      <w:r w:rsidR="00704A4F" w:rsidRPr="001D63DF">
        <w:rPr>
          <w:sz w:val="22"/>
          <w:szCs w:val="22"/>
        </w:rPr>
        <w:instrText xml:space="preserve"> ADDIN EN.CITE </w:instrText>
      </w:r>
      <w:r w:rsidR="00704A4F" w:rsidRPr="001D63DF">
        <w:rPr>
          <w:sz w:val="22"/>
          <w:szCs w:val="22"/>
        </w:rPr>
        <w:fldChar w:fldCharType="begin">
          <w:fldData xml:space="preserve">PEVuZE5vdGU+PENpdGU+PEF1dGhvcj5HdXB0YTwvQXV0aG9yPjxZZWFyPjIwMTY8L1llYXI+PFJl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</w:fldData>
        </w:fldChar>
      </w:r>
      <w:r w:rsidR="00704A4F" w:rsidRPr="001D63DF">
        <w:rPr>
          <w:sz w:val="22"/>
          <w:szCs w:val="22"/>
        </w:rPr>
        <w:instrText xml:space="preserve"> ADDIN EN.CITE.DATA </w:instrText>
      </w:r>
      <w:r w:rsidR="00704A4F" w:rsidRPr="001D63DF">
        <w:rPr>
          <w:sz w:val="22"/>
          <w:szCs w:val="22"/>
        </w:rPr>
      </w:r>
      <w:r w:rsidR="00704A4F" w:rsidRPr="001D63DF">
        <w:rPr>
          <w:sz w:val="22"/>
          <w:szCs w:val="22"/>
        </w:rPr>
        <w:fldChar w:fldCharType="end"/>
      </w:r>
      <w:r w:rsidR="00067D3E" w:rsidRPr="001D63DF">
        <w:rPr>
          <w:sz w:val="22"/>
          <w:szCs w:val="22"/>
        </w:rPr>
      </w:r>
      <w:r w:rsidR="00067D3E" w:rsidRPr="001D63DF">
        <w:rPr>
          <w:sz w:val="22"/>
          <w:szCs w:val="22"/>
        </w:rPr>
        <w:fldChar w:fldCharType="separate"/>
      </w:r>
      <w:r w:rsidR="00704A4F" w:rsidRPr="001D63DF">
        <w:rPr>
          <w:noProof/>
          <w:sz w:val="22"/>
          <w:szCs w:val="22"/>
        </w:rPr>
        <w:t>[15, 21, 23]</w:t>
      </w:r>
      <w:r w:rsidR="00067D3E" w:rsidRPr="001D63DF">
        <w:rPr>
          <w:sz w:val="22"/>
          <w:szCs w:val="22"/>
        </w:rPr>
        <w:fldChar w:fldCharType="end"/>
      </w:r>
      <w:r w:rsidR="000251D6" w:rsidRPr="001D63DF">
        <w:rPr>
          <w:sz w:val="22"/>
          <w:szCs w:val="22"/>
        </w:rPr>
        <w:t xml:space="preserve"> </w:t>
      </w:r>
      <w:r w:rsidR="00067D3E" w:rsidRPr="001D63DF">
        <w:rPr>
          <w:sz w:val="22"/>
          <w:szCs w:val="22"/>
        </w:rPr>
        <w:t xml:space="preserve">particularly as cross-ventilation </w:t>
      </w:r>
      <w:r w:rsidR="00067D3E" w:rsidRPr="001D63DF">
        <w:rPr>
          <w:sz w:val="22"/>
          <w:szCs w:val="22"/>
        </w:rPr>
        <w:fldChar w:fldCharType="begin"/>
      </w:r>
      <w:r w:rsidR="00704A4F" w:rsidRPr="001D63DF">
        <w:rPr>
          <w:sz w:val="22"/>
          <w:szCs w:val="22"/>
        </w:rPr>
        <w:instrText xml:space="preserve"> ADDIN EN.CITE &lt;EndNote&gt;&lt;Cite&gt;&lt;Author&gt;Berry&lt;/Author&gt;&lt;Year&gt;2014&lt;/Year&gt;&lt;RecNum&gt;256&lt;/RecNum&gt;&lt;DisplayText&gt;[24]&lt;/DisplayText&gt;&lt;record&gt;&lt;rec-number&gt;256&lt;/rec-number&gt;&lt;foreign-keys&gt;&lt;key app="EN" db-id="dtvfvp55j2tw0ned5ruxvv51zwdxaxr9wft0" timestamp="1492781887"&gt;256&lt;/key&gt;&lt;/foreign-keys&gt;&lt;ref-type name="Journal Article"&gt;17&lt;/ref-type&gt;&lt;contributors&gt;&lt;authors&gt;&lt;author&gt;Berry, Stephen&lt;/author&gt;&lt;author&gt;Whaley, David&lt;/author&gt;&lt;author&gt;Davidson, Kathryn&lt;/author&gt;&lt;author&gt;Saman, Wasim&lt;/author&gt;&lt;/authors&gt;&lt;/contributors&gt;&lt;titles&gt;&lt;title&gt;Near zero energy homes–What do users think?&lt;/title&gt;&lt;secondary-title&gt;Energy Policy&lt;/secondary-title&gt;&lt;/titles&gt;&lt;periodical&gt;&lt;full-title&gt;Energy Policy&lt;/full-title&gt;&lt;/periodical&gt;&lt;pages&gt;127-137&lt;/pages&gt;&lt;volume&gt;73&lt;/volume&gt;&lt;dates&gt;&lt;year&gt;2014&lt;/year&gt;&lt;/dates&gt;&lt;isbn&gt;0301-4215&lt;/isbn&gt;&lt;urls&gt;&lt;/urls&gt;&lt;/record&gt;&lt;/Cite&gt;&lt;/EndNote&gt;</w:instrText>
      </w:r>
      <w:r w:rsidR="00067D3E" w:rsidRPr="001D63DF">
        <w:rPr>
          <w:sz w:val="22"/>
          <w:szCs w:val="22"/>
        </w:rPr>
        <w:fldChar w:fldCharType="separate"/>
      </w:r>
      <w:r w:rsidR="00704A4F" w:rsidRPr="001D63DF">
        <w:rPr>
          <w:noProof/>
          <w:sz w:val="22"/>
          <w:szCs w:val="22"/>
        </w:rPr>
        <w:t>[24]</w:t>
      </w:r>
      <w:r w:rsidR="00067D3E" w:rsidRPr="001D63DF">
        <w:rPr>
          <w:sz w:val="22"/>
          <w:szCs w:val="22"/>
        </w:rPr>
        <w:fldChar w:fldCharType="end"/>
      </w:r>
      <w:r>
        <w:rPr>
          <w:sz w:val="22"/>
          <w:szCs w:val="22"/>
        </w:rPr>
        <w:t>, where appro</w:t>
      </w:r>
      <w:r w:rsidR="006079B5">
        <w:rPr>
          <w:sz w:val="22"/>
          <w:szCs w:val="22"/>
        </w:rPr>
        <w:t xml:space="preserve">priate (lower temperatures and relative humidity), can also be effective in releasing excess heat </w:t>
      </w:r>
      <w:r w:rsidR="006079B5">
        <w:rPr>
          <w:sz w:val="22"/>
          <w:szCs w:val="22"/>
        </w:rPr>
        <w:lastRenderedPageBreak/>
        <w:t>that is built up and stored in the dwelling during the day</w:t>
      </w:r>
      <w:r w:rsidR="000251D6" w:rsidRPr="001D63DF">
        <w:rPr>
          <w:sz w:val="22"/>
          <w:szCs w:val="22"/>
        </w:rPr>
        <w:t xml:space="preserve">. Where night-time ventilation by window opening, shown to be highly effective in cooling the spaces in northern climates, is problematic due to insect, noise, or driving rain, increased mechanical ventilation has been shown to be </w:t>
      </w:r>
      <w:r w:rsidR="00067D3E" w:rsidRPr="001D63DF">
        <w:rPr>
          <w:sz w:val="22"/>
          <w:szCs w:val="22"/>
        </w:rPr>
        <w:t>slightly less effective, albeit</w:t>
      </w:r>
      <w:r w:rsidR="000251D6" w:rsidRPr="001D63DF">
        <w:rPr>
          <w:sz w:val="22"/>
          <w:szCs w:val="22"/>
        </w:rPr>
        <w:t xml:space="preserve"> acceptable compromise </w:t>
      </w:r>
      <w:r w:rsidR="000251D6" w:rsidRPr="001D63DF">
        <w:rPr>
          <w:sz w:val="22"/>
          <w:szCs w:val="22"/>
        </w:rPr>
        <w:fldChar w:fldCharType="begin"/>
      </w:r>
      <w:r w:rsidR="00704A4F" w:rsidRPr="001D63DF">
        <w:rPr>
          <w:sz w:val="22"/>
          <w:szCs w:val="22"/>
        </w:rPr>
        <w:instrText xml:space="preserve"> ADDIN EN.CITE &lt;EndNote&gt;&lt;Cite&gt;&lt;Author&gt;Simone&lt;/Author&gt;&lt;Year&gt;2014&lt;/Year&gt;&lt;RecNum&gt;253&lt;/RecNum&gt;&lt;DisplayText&gt;[15]&lt;/DisplayText&gt;&lt;record&gt;&lt;rec-number&gt;253&lt;/rec-number&gt;&lt;foreign-keys&gt;&lt;key app="EN" db-id="dtvfvp55j2tw0ned5ruxvv51zwdxaxr9wft0" timestamp="1492778567"&gt;253&lt;/key&gt;&lt;/foreign-keys&gt;&lt;ref-type name="Conference Proceedings"&gt;10&lt;/ref-type&gt;&lt;contributors&gt;&lt;authors&gt;&lt;author&gt;Simone, Angela&lt;/author&gt;&lt;author&gt;AVANTAGGIAT, M&lt;/author&gt;&lt;author&gt;De Carli, Michele&lt;/author&gt;&lt;author&gt;Olesen, Bjarne W&lt;/author&gt;&lt;/authors&gt;&lt;/contributors&gt;&lt;titles&gt;&lt;title&gt;Effect of passive cooling strategies on overheating in low energy residential buildings for Danish climate&lt;/title&gt;&lt;secondary-title&gt;8th Windsor Conference: counting the cost of Comfort in a changing world&lt;/secondary-title&gt;&lt;/titles&gt;&lt;pages&gt;10-13&lt;/pages&gt;&lt;dates&gt;&lt;year&gt;2014&lt;/year&gt;&lt;/dates&gt;&lt;urls&gt;&lt;/urls&gt;&lt;/record&gt;&lt;/Cite&gt;&lt;/EndNote&gt;</w:instrText>
      </w:r>
      <w:r w:rsidR="000251D6" w:rsidRPr="001D63DF">
        <w:rPr>
          <w:sz w:val="22"/>
          <w:szCs w:val="22"/>
        </w:rPr>
        <w:fldChar w:fldCharType="separate"/>
      </w:r>
      <w:r w:rsidR="00704A4F" w:rsidRPr="001D63DF">
        <w:rPr>
          <w:sz w:val="22"/>
          <w:szCs w:val="22"/>
        </w:rPr>
        <w:t>[15]</w:t>
      </w:r>
      <w:r w:rsidR="000251D6" w:rsidRPr="001D63DF">
        <w:rPr>
          <w:sz w:val="22"/>
          <w:szCs w:val="22"/>
        </w:rPr>
        <w:fldChar w:fldCharType="end"/>
      </w:r>
      <w:r w:rsidR="000251D6" w:rsidRPr="001D63DF">
        <w:rPr>
          <w:sz w:val="22"/>
          <w:szCs w:val="22"/>
        </w:rPr>
        <w:t>.</w:t>
      </w:r>
    </w:p>
    <w:p w:rsidR="006C2A9D" w:rsidRDefault="006C2A9D" w:rsidP="001D63DF">
      <w:pPr>
        <w:pStyle w:val="Mainbodytext"/>
        <w:ind w:firstLine="0"/>
        <w:rPr>
          <w:sz w:val="22"/>
          <w:szCs w:val="22"/>
        </w:rPr>
      </w:pPr>
    </w:p>
    <w:p w:rsidR="009B409B" w:rsidRPr="001D63DF" w:rsidRDefault="009B409B" w:rsidP="001D63DF">
      <w:pPr>
        <w:pStyle w:val="Mainbodytext"/>
        <w:ind w:firstLine="0"/>
        <w:rPr>
          <w:sz w:val="22"/>
          <w:szCs w:val="22"/>
        </w:rPr>
      </w:pPr>
      <w:r w:rsidRPr="001D63DF">
        <w:rPr>
          <w:sz w:val="22"/>
          <w:szCs w:val="22"/>
        </w:rPr>
        <w:t xml:space="preserve">Though modelling exists to establish effective adaptive responses to the impact of future climate on high-performing / </w:t>
      </w:r>
      <w:proofErr w:type="spellStart"/>
      <w:r w:rsidRPr="001D63DF">
        <w:rPr>
          <w:sz w:val="22"/>
          <w:szCs w:val="22"/>
        </w:rPr>
        <w:t>Passivhaus</w:t>
      </w:r>
      <w:proofErr w:type="spellEnd"/>
      <w:r w:rsidRPr="001D63DF">
        <w:rPr>
          <w:sz w:val="22"/>
          <w:szCs w:val="22"/>
        </w:rPr>
        <w:t xml:space="preserve"> / NZE dwellings, it is also useful to consider findings from research of dwellings built to be high-performing in southern / warmer-climates. In one such study with multiple analogue examples for the UK’s future climate(s), </w:t>
      </w:r>
      <w:proofErr w:type="spellStart"/>
      <w:r w:rsidRPr="001D63DF">
        <w:rPr>
          <w:sz w:val="22"/>
          <w:szCs w:val="22"/>
        </w:rPr>
        <w:t>Schnieders</w:t>
      </w:r>
      <w:proofErr w:type="spellEnd"/>
      <w:r w:rsidRPr="001D63DF">
        <w:rPr>
          <w:sz w:val="22"/>
          <w:szCs w:val="22"/>
        </w:rPr>
        <w:t xml:space="preserve"> </w:t>
      </w:r>
      <w:r w:rsidRPr="001D63DF">
        <w:rPr>
          <w:sz w:val="22"/>
          <w:szCs w:val="22"/>
        </w:rPr>
        <w:fldChar w:fldCharType="begin"/>
      </w:r>
      <w:r w:rsidR="00704A4F" w:rsidRPr="001D63DF">
        <w:rPr>
          <w:sz w:val="22"/>
          <w:szCs w:val="22"/>
        </w:rPr>
        <w:instrText xml:space="preserve"> ADDIN EN.CITE &lt;EndNote&gt;&lt;Cite&gt;&lt;Author&gt;Schnieders&lt;/Author&gt;&lt;Year&gt;2009&lt;/Year&gt;&lt;RecNum&gt;258&lt;/RecNum&gt;&lt;DisplayText&gt;[25]&lt;/DisplayText&gt;&lt;record&gt;&lt;rec-number&gt;258&lt;/rec-number&gt;&lt;foreign-keys&gt;&lt;key app="EN" db-id="dtvfvp55j2tw0ned5ruxvv51zwdxaxr9wft0" timestamp="1492788136"&gt;258&lt;/key&gt;&lt;/foreign-keys&gt;&lt;ref-type name="Book"&gt;6&lt;/ref-type&gt;&lt;contributors&gt;&lt;authors&gt;&lt;author&gt;Schnieders, Jürgen&lt;/author&gt;&lt;/authors&gt;&lt;/contributors&gt;&lt;titles&gt;&lt;title&gt;Passiv houses in South West Europe: a quantitative investigation of some passive and active space conditioning techniques for highly energy efficient dwellings in the South West European region&lt;/title&gt;&lt;/titles&gt;&lt;dates&gt;&lt;year&gt;2009&lt;/year&gt;&lt;/dates&gt;&lt;publisher&gt;Passivhaus Inst.&lt;/publisher&gt;&lt;urls&gt;&lt;/urls&gt;&lt;/record&gt;&lt;/Cite&gt;&lt;/EndNote&gt;</w:instrText>
      </w:r>
      <w:r w:rsidRPr="001D63DF">
        <w:rPr>
          <w:sz w:val="22"/>
          <w:szCs w:val="22"/>
        </w:rPr>
        <w:fldChar w:fldCharType="separate"/>
      </w:r>
      <w:r w:rsidR="00704A4F" w:rsidRPr="001D63DF">
        <w:rPr>
          <w:sz w:val="22"/>
          <w:szCs w:val="22"/>
        </w:rPr>
        <w:t>[25]</w:t>
      </w:r>
      <w:r w:rsidRPr="001D63DF">
        <w:rPr>
          <w:sz w:val="22"/>
          <w:szCs w:val="22"/>
        </w:rPr>
        <w:fldChar w:fldCharType="end"/>
      </w:r>
      <w:r w:rsidRPr="001D63DF">
        <w:rPr>
          <w:sz w:val="22"/>
          <w:szCs w:val="22"/>
        </w:rPr>
        <w:t xml:space="preserve"> </w:t>
      </w:r>
      <w:r w:rsidR="00D27D53" w:rsidRPr="001D63DF">
        <w:rPr>
          <w:sz w:val="22"/>
          <w:szCs w:val="22"/>
        </w:rPr>
        <w:t xml:space="preserve">concludes that the </w:t>
      </w:r>
      <w:proofErr w:type="spellStart"/>
      <w:r w:rsidR="00D27D53" w:rsidRPr="001D63DF">
        <w:rPr>
          <w:sz w:val="22"/>
          <w:szCs w:val="22"/>
        </w:rPr>
        <w:t>Passivhaus</w:t>
      </w:r>
      <w:proofErr w:type="spellEnd"/>
      <w:r w:rsidR="00D27D53" w:rsidRPr="001D63DF">
        <w:rPr>
          <w:sz w:val="22"/>
          <w:szCs w:val="22"/>
        </w:rPr>
        <w:t xml:space="preserve"> </w:t>
      </w:r>
      <w:r w:rsidRPr="001D63DF">
        <w:rPr>
          <w:sz w:val="22"/>
          <w:szCs w:val="22"/>
        </w:rPr>
        <w:t>concept</w:t>
      </w:r>
      <w:r w:rsidR="002E00FE" w:rsidRPr="001D63DF">
        <w:rPr>
          <w:sz w:val="22"/>
          <w:szCs w:val="22"/>
        </w:rPr>
        <w:t xml:space="preserve"> </w:t>
      </w:r>
      <w:r w:rsidRPr="001D63DF">
        <w:rPr>
          <w:sz w:val="22"/>
          <w:szCs w:val="22"/>
        </w:rPr>
        <w:t>is able to provide a comfortable indoor climate, in accordance with EN/ISO 7730 in all twelve locations (including southern Germany, Italy</w:t>
      </w:r>
      <w:r w:rsidR="00EA54A5" w:rsidRPr="001D63DF">
        <w:rPr>
          <w:sz w:val="22"/>
          <w:szCs w:val="22"/>
        </w:rPr>
        <w:t>, etc.)</w:t>
      </w:r>
      <w:r w:rsidRPr="001D63DF">
        <w:rPr>
          <w:sz w:val="22"/>
          <w:szCs w:val="22"/>
        </w:rPr>
        <w:t xml:space="preserve"> exclusively by pre-conditioning </w:t>
      </w:r>
      <w:r w:rsidR="00144D96" w:rsidRPr="001D63DF">
        <w:rPr>
          <w:sz w:val="22"/>
          <w:szCs w:val="22"/>
        </w:rPr>
        <w:t xml:space="preserve"> with</w:t>
      </w:r>
      <w:r w:rsidRPr="001D63DF">
        <w:rPr>
          <w:sz w:val="22"/>
          <w:szCs w:val="22"/>
        </w:rPr>
        <w:t xml:space="preserve"> activ</w:t>
      </w:r>
      <w:r w:rsidR="00144D96" w:rsidRPr="001D63DF">
        <w:rPr>
          <w:sz w:val="22"/>
          <w:szCs w:val="22"/>
        </w:rPr>
        <w:t xml:space="preserve">e cooling </w:t>
      </w:r>
      <w:r w:rsidRPr="001D63DF">
        <w:rPr>
          <w:sz w:val="22"/>
          <w:szCs w:val="22"/>
        </w:rPr>
        <w:t xml:space="preserve">the supply airflow. </w:t>
      </w:r>
      <w:r w:rsidR="00144D96" w:rsidRPr="001D63DF">
        <w:rPr>
          <w:sz w:val="22"/>
          <w:szCs w:val="22"/>
        </w:rPr>
        <w:t>It is further explained</w:t>
      </w:r>
      <w:r w:rsidRPr="001D63DF">
        <w:rPr>
          <w:sz w:val="22"/>
          <w:szCs w:val="22"/>
        </w:rPr>
        <w:t xml:space="preserve"> that </w:t>
      </w:r>
      <w:r w:rsidR="00144D96" w:rsidRPr="001D63DF">
        <w:rPr>
          <w:sz w:val="22"/>
          <w:szCs w:val="22"/>
        </w:rPr>
        <w:t>external shading in summer</w:t>
      </w:r>
      <w:r w:rsidRPr="001D63DF">
        <w:rPr>
          <w:sz w:val="22"/>
          <w:szCs w:val="22"/>
        </w:rPr>
        <w:t xml:space="preserve">, reduction of solar load through opaque elements and minimising internal heat loads are </w:t>
      </w:r>
      <w:r w:rsidR="00144D96" w:rsidRPr="001D63DF">
        <w:rPr>
          <w:sz w:val="22"/>
          <w:szCs w:val="22"/>
        </w:rPr>
        <w:t>important</w:t>
      </w:r>
      <w:r w:rsidRPr="001D63DF">
        <w:rPr>
          <w:sz w:val="22"/>
          <w:szCs w:val="22"/>
        </w:rPr>
        <w:t xml:space="preserve"> </w:t>
      </w:r>
      <w:r w:rsidR="00144D96" w:rsidRPr="001D63DF">
        <w:rPr>
          <w:sz w:val="22"/>
          <w:szCs w:val="22"/>
        </w:rPr>
        <w:t>measures</w:t>
      </w:r>
      <w:r w:rsidRPr="001D63DF">
        <w:rPr>
          <w:sz w:val="22"/>
          <w:szCs w:val="22"/>
        </w:rPr>
        <w:t xml:space="preserve"> in maintaining thermal comfort.</w:t>
      </w:r>
      <w:r w:rsidR="007D2532" w:rsidRPr="001D63DF">
        <w:rPr>
          <w:sz w:val="22"/>
          <w:szCs w:val="22"/>
        </w:rPr>
        <w:t xml:space="preserve"> This study </w:t>
      </w:r>
      <w:r w:rsidR="0099562F">
        <w:rPr>
          <w:sz w:val="22"/>
          <w:szCs w:val="22"/>
        </w:rPr>
        <w:t xml:space="preserve">uses a simulation based approach to </w:t>
      </w:r>
      <w:r w:rsidR="001B66F0">
        <w:rPr>
          <w:sz w:val="22"/>
          <w:szCs w:val="22"/>
        </w:rPr>
        <w:t>achieve</w:t>
      </w:r>
      <w:r w:rsidR="0099562F">
        <w:rPr>
          <w:sz w:val="22"/>
          <w:szCs w:val="22"/>
        </w:rPr>
        <w:t xml:space="preserve"> the </w:t>
      </w:r>
      <w:r w:rsidR="00AC6AF7">
        <w:rPr>
          <w:sz w:val="22"/>
          <w:szCs w:val="22"/>
        </w:rPr>
        <w:t>NZE t</w:t>
      </w:r>
      <w:r w:rsidR="0099562F">
        <w:rPr>
          <w:sz w:val="22"/>
          <w:szCs w:val="22"/>
        </w:rPr>
        <w:t xml:space="preserve">argets for two dwellings and also </w:t>
      </w:r>
      <w:r w:rsidR="007D2532" w:rsidRPr="001D63DF">
        <w:rPr>
          <w:sz w:val="22"/>
          <w:szCs w:val="22"/>
        </w:rPr>
        <w:t xml:space="preserve">examine the risk of summer time overheating </w:t>
      </w:r>
      <w:r w:rsidR="00222462">
        <w:rPr>
          <w:sz w:val="22"/>
          <w:szCs w:val="22"/>
        </w:rPr>
        <w:t>in</w:t>
      </w:r>
      <w:r w:rsidR="007D2532" w:rsidRPr="001D63DF">
        <w:rPr>
          <w:sz w:val="22"/>
          <w:szCs w:val="22"/>
        </w:rPr>
        <w:t xml:space="preserve"> </w:t>
      </w:r>
      <w:r w:rsidR="007F3844">
        <w:rPr>
          <w:sz w:val="22"/>
          <w:szCs w:val="22"/>
        </w:rPr>
        <w:t>the</w:t>
      </w:r>
      <w:r w:rsidR="007D2532" w:rsidRPr="001D63DF">
        <w:rPr>
          <w:sz w:val="22"/>
          <w:szCs w:val="22"/>
        </w:rPr>
        <w:t xml:space="preserve"> dwellings, </w:t>
      </w:r>
      <w:r w:rsidR="0088492A">
        <w:rPr>
          <w:sz w:val="22"/>
          <w:szCs w:val="22"/>
        </w:rPr>
        <w:t>under</w:t>
      </w:r>
      <w:r w:rsidR="007D2532" w:rsidRPr="001D63DF">
        <w:rPr>
          <w:sz w:val="22"/>
          <w:szCs w:val="22"/>
        </w:rPr>
        <w:t xml:space="preserve"> current and future climates.</w:t>
      </w:r>
    </w:p>
    <w:p w:rsidR="008D4B0E" w:rsidRDefault="007D2532" w:rsidP="00186ACC">
      <w:pPr>
        <w:pStyle w:val="Heading1"/>
      </w:pPr>
      <w:r>
        <w:t>3.</w:t>
      </w:r>
      <w:r>
        <w:tab/>
      </w:r>
      <w:r w:rsidR="00663761">
        <w:t xml:space="preserve">Methods </w:t>
      </w:r>
    </w:p>
    <w:p w:rsidR="008D4B0E" w:rsidRDefault="00DD684E" w:rsidP="00163351">
      <w:r>
        <w:t>Using the well-established suite of Integrated Environmental Solution’s Virtual Environment (IES VE) simulation software</w:t>
      </w:r>
      <w:r w:rsidR="00693338">
        <w:t xml:space="preserve"> (dynamic thermal simulation)</w:t>
      </w:r>
      <w:r w:rsidR="00E74A36">
        <w:t xml:space="preserve"> that include </w:t>
      </w:r>
      <w:proofErr w:type="spellStart"/>
      <w:r w:rsidRPr="001D63DF">
        <w:rPr>
          <w:i/>
        </w:rPr>
        <w:t>ModelIT</w:t>
      </w:r>
      <w:proofErr w:type="spellEnd"/>
      <w:r w:rsidRPr="00EB45F6">
        <w:t xml:space="preserve">, </w:t>
      </w:r>
      <w:r w:rsidRPr="001D63DF">
        <w:rPr>
          <w:i/>
        </w:rPr>
        <w:t>Apache</w:t>
      </w:r>
      <w:r>
        <w:t>,</w:t>
      </w:r>
      <w:r w:rsidRPr="00EB45F6">
        <w:t xml:space="preserve"> </w:t>
      </w:r>
      <w:proofErr w:type="spellStart"/>
      <w:r w:rsidRPr="001D63DF">
        <w:rPr>
          <w:i/>
        </w:rPr>
        <w:t>MacroFlo</w:t>
      </w:r>
      <w:proofErr w:type="spellEnd"/>
      <w:r w:rsidRPr="00EB45F6">
        <w:t xml:space="preserve"> and </w:t>
      </w:r>
      <w:proofErr w:type="spellStart"/>
      <w:r w:rsidRPr="001D63DF">
        <w:rPr>
          <w:i/>
        </w:rPr>
        <w:t>VistaPro</w:t>
      </w:r>
      <w:proofErr w:type="spellEnd"/>
      <w:r>
        <w:t xml:space="preserve">, the expected energy performance of the dwellings and overheating potential are simulated.  </w:t>
      </w:r>
      <w:r w:rsidR="007F25B6">
        <w:t xml:space="preserve">For comparative purposes five variations </w:t>
      </w:r>
      <w:r w:rsidR="00B546C3">
        <w:t>of the energ</w:t>
      </w:r>
      <w:r w:rsidR="00617F7A">
        <w:t>y</w:t>
      </w:r>
      <w:r w:rsidR="007F25B6">
        <w:t xml:space="preserve"> model</w:t>
      </w:r>
      <w:r w:rsidR="00B762B3">
        <w:t>s</w:t>
      </w:r>
      <w:r w:rsidR="007F25B6">
        <w:t xml:space="preserve"> are created</w:t>
      </w:r>
      <w:r w:rsidR="004A36E8">
        <w:t xml:space="preserve"> as follows</w:t>
      </w:r>
      <w:r w:rsidR="007F25B6">
        <w:t>:</w:t>
      </w:r>
    </w:p>
    <w:p w:rsidR="007F25B6" w:rsidRDefault="007F25B6" w:rsidP="007F25B6">
      <w:pPr>
        <w:pStyle w:val="ListParagraph"/>
        <w:numPr>
          <w:ilvl w:val="0"/>
          <w:numId w:val="7"/>
        </w:numPr>
      </w:pPr>
      <w:r w:rsidRPr="001D63DF">
        <w:rPr>
          <w:b/>
        </w:rPr>
        <w:t>Baseline</w:t>
      </w:r>
      <w:r>
        <w:t>: the as-designed mod</w:t>
      </w:r>
      <w:r w:rsidR="00CF3453">
        <w:t>el;</w:t>
      </w:r>
      <w:r>
        <w:t xml:space="preserve"> </w:t>
      </w:r>
    </w:p>
    <w:p w:rsidR="007F25B6" w:rsidRDefault="007F25B6" w:rsidP="007F25B6">
      <w:pPr>
        <w:pStyle w:val="ListParagraph"/>
        <w:numPr>
          <w:ilvl w:val="0"/>
          <w:numId w:val="7"/>
        </w:numPr>
      </w:pPr>
      <w:r w:rsidRPr="001D63DF">
        <w:rPr>
          <w:b/>
        </w:rPr>
        <w:t>Reference cases</w:t>
      </w:r>
      <w:r>
        <w:t xml:space="preserve">: reverse modelling of the baseline to establish reference cases: </w:t>
      </w:r>
    </w:p>
    <w:p w:rsidR="007F25B6" w:rsidRDefault="007F25B6" w:rsidP="007F25B6">
      <w:pPr>
        <w:pStyle w:val="ListParagraph"/>
        <w:numPr>
          <w:ilvl w:val="1"/>
          <w:numId w:val="7"/>
        </w:numPr>
      </w:pPr>
      <w:r w:rsidRPr="001D63DF">
        <w:rPr>
          <w:i/>
        </w:rPr>
        <w:t>Typical reference case</w:t>
      </w:r>
      <w:r>
        <w:t>, i.e. consumption of typic</w:t>
      </w:r>
      <w:r w:rsidR="00CF3453">
        <w:t>al existing dwelling in England,</w:t>
      </w:r>
      <w:r>
        <w:t xml:space="preserve"> </w:t>
      </w:r>
    </w:p>
    <w:p w:rsidR="007F25B6" w:rsidRDefault="007F25B6" w:rsidP="007F25B6">
      <w:pPr>
        <w:pStyle w:val="ListParagraph"/>
        <w:numPr>
          <w:ilvl w:val="1"/>
          <w:numId w:val="7"/>
        </w:numPr>
      </w:pPr>
      <w:r w:rsidRPr="001D63DF">
        <w:rPr>
          <w:i/>
        </w:rPr>
        <w:t>UK building regulations</w:t>
      </w:r>
      <w:r>
        <w:t xml:space="preserve"> reference case: applied bu</w:t>
      </w:r>
      <w:r w:rsidR="00CF3453">
        <w:t>ilding regulations to the model;</w:t>
      </w:r>
    </w:p>
    <w:p w:rsidR="007F25B6" w:rsidRDefault="007F25B6" w:rsidP="007F25B6">
      <w:pPr>
        <w:pStyle w:val="ListParagraph"/>
        <w:numPr>
          <w:ilvl w:val="0"/>
          <w:numId w:val="7"/>
        </w:numPr>
      </w:pPr>
      <w:r w:rsidRPr="001D63DF">
        <w:rPr>
          <w:b/>
        </w:rPr>
        <w:t>Baseline+:</w:t>
      </w:r>
      <w:r>
        <w:t xml:space="preserve"> an improved version of the Baseline model to further reduce consumpti</w:t>
      </w:r>
      <w:r w:rsidR="00CF3453">
        <w:t>on though established measures;</w:t>
      </w:r>
    </w:p>
    <w:p w:rsidR="007F25B6" w:rsidRDefault="007F25B6" w:rsidP="007F25B6">
      <w:pPr>
        <w:pStyle w:val="ListParagraph"/>
        <w:numPr>
          <w:ilvl w:val="0"/>
          <w:numId w:val="7"/>
        </w:numPr>
      </w:pPr>
      <w:r w:rsidRPr="001D63DF">
        <w:rPr>
          <w:b/>
        </w:rPr>
        <w:t>NZE reduction &amp; generation</w:t>
      </w:r>
      <w:r>
        <w:t xml:space="preserve"> (</w:t>
      </w:r>
      <w:proofErr w:type="spellStart"/>
      <w:r>
        <w:t>NZE_red+gen</w:t>
      </w:r>
      <w:proofErr w:type="spellEnd"/>
      <w:r>
        <w:t>): a model that combines the technologies to be tested in the p</w:t>
      </w:r>
      <w:r w:rsidR="00CF3453">
        <w:t>roject with the Baseline+ model;</w:t>
      </w:r>
      <w:r>
        <w:t xml:space="preserve"> and </w:t>
      </w:r>
    </w:p>
    <w:p w:rsidR="00DD684E" w:rsidRDefault="00643525" w:rsidP="00163351">
      <w:pPr>
        <w:pStyle w:val="ListParagraph"/>
        <w:numPr>
          <w:ilvl w:val="0"/>
          <w:numId w:val="7"/>
        </w:numPr>
      </w:pPr>
      <w:r w:rsidRPr="001D63DF">
        <w:rPr>
          <w:b/>
        </w:rPr>
        <w:t>NZE building energy management systems</w:t>
      </w:r>
      <w:r>
        <w:t xml:space="preserve"> (NZE_BEMS)</w:t>
      </w:r>
      <w:r w:rsidR="007F25B6">
        <w:t xml:space="preserve">: </w:t>
      </w:r>
      <w:r w:rsidR="00774914">
        <w:t>t</w:t>
      </w:r>
      <w:r w:rsidR="00774914" w:rsidRPr="00774914">
        <w:t>o further explore reduct</w:t>
      </w:r>
      <w:r w:rsidR="00774914">
        <w:t>ion, the influence of a BEMS</w:t>
      </w:r>
      <w:r w:rsidR="00774914" w:rsidRPr="00774914">
        <w:t xml:space="preserve"> is simulated to evaluate the potential for further reduction of regulated and un-regulated loads (e.g. lighting).</w:t>
      </w:r>
      <w:r w:rsidR="002766EC">
        <w:t xml:space="preserve"> </w:t>
      </w:r>
    </w:p>
    <w:p w:rsidR="00DD684E" w:rsidRDefault="00B8330C" w:rsidP="00186ACC">
      <w:r>
        <w:t>The following</w:t>
      </w:r>
      <w:r w:rsidR="00DD684E">
        <w:t xml:space="preserve"> steps </w:t>
      </w:r>
      <w:r w:rsidR="002870EB">
        <w:t xml:space="preserve">are undertaken </w:t>
      </w:r>
      <w:r w:rsidR="00DD684E">
        <w:t xml:space="preserve">to reach the NZE </w:t>
      </w:r>
      <w:r w:rsidR="00DF1300">
        <w:t>targets</w:t>
      </w:r>
      <w:r w:rsidR="00DD684E">
        <w:t xml:space="preserve"> set out</w:t>
      </w:r>
      <w:r w:rsidR="00DF1300">
        <w:t xml:space="preserve"> </w:t>
      </w:r>
      <w:r w:rsidR="00D74C45">
        <w:t>in the introduction</w:t>
      </w:r>
      <w:r w:rsidR="00DD684E">
        <w:t>:</w:t>
      </w:r>
      <w:r w:rsidR="00181C9A">
        <w:t xml:space="preserve"> (1) </w:t>
      </w:r>
      <w:r w:rsidR="00DD684E">
        <w:t>Assess</w:t>
      </w:r>
      <w:r w:rsidR="00C32931">
        <w:t>ing</w:t>
      </w:r>
      <w:r w:rsidR="00DD684E">
        <w:t xml:space="preserve"> and establish</w:t>
      </w:r>
      <w:r w:rsidR="00C32931">
        <w:t>ing</w:t>
      </w:r>
      <w:r w:rsidR="00DD684E">
        <w:t xml:space="preserve"> the baseline energy performance of the two dwellings</w:t>
      </w:r>
      <w:r w:rsidR="00181C9A">
        <w:t xml:space="preserve"> (2) </w:t>
      </w:r>
      <w:r w:rsidR="00DD684E">
        <w:t>Reduc</w:t>
      </w:r>
      <w:r w:rsidR="00C32931">
        <w:t xml:space="preserve">ing the </w:t>
      </w:r>
      <w:r w:rsidR="00DD684E">
        <w:t>regulated energy consumption to or below 50 kWh/m</w:t>
      </w:r>
      <w:r w:rsidR="00DD684E" w:rsidRPr="00186ACC">
        <w:rPr>
          <w:vertAlign w:val="superscript"/>
        </w:rPr>
        <w:t>2</w:t>
      </w:r>
      <w:r w:rsidR="00181C9A">
        <w:t xml:space="preserve"> (3) </w:t>
      </w:r>
      <w:r w:rsidR="00737DD0">
        <w:t>and g</w:t>
      </w:r>
      <w:r w:rsidR="00DD684E">
        <w:t>enerat</w:t>
      </w:r>
      <w:r w:rsidR="00C32931">
        <w:t>ing</w:t>
      </w:r>
      <w:r w:rsidR="00DD684E">
        <w:t xml:space="preserve"> at least 50 kWh/m</w:t>
      </w:r>
      <w:r w:rsidR="00DD684E" w:rsidRPr="00186ACC">
        <w:rPr>
          <w:vertAlign w:val="superscript"/>
        </w:rPr>
        <w:t>2</w:t>
      </w:r>
      <w:r w:rsidR="00DD684E">
        <w:t xml:space="preserve"> of electricity from building level and community level renewables.</w:t>
      </w:r>
    </w:p>
    <w:p w:rsidR="00DD684E" w:rsidRDefault="00DD684E" w:rsidP="00DD684E">
      <w:r>
        <w:t xml:space="preserve">The </w:t>
      </w:r>
      <w:r w:rsidR="008F0751">
        <w:t>NZE</w:t>
      </w:r>
      <w:r>
        <w:t xml:space="preserve"> targets are focussed on regulated energy consumption</w:t>
      </w:r>
      <w:r w:rsidR="00FD26D3">
        <w:t xml:space="preserve"> covering the end uses of space heating, cooling, ventilation, domestic hot water, fans and pumps, while </w:t>
      </w:r>
      <w:r>
        <w:t xml:space="preserve">unregulated loads such as lighting, computers, televisions and cooking are not included. </w:t>
      </w:r>
      <w:r w:rsidR="00A20944">
        <w:t>Net regulated energy is calculated as below:</w:t>
      </w:r>
    </w:p>
    <w:p w:rsidR="00DD684E" w:rsidRPr="00677AC6" w:rsidRDefault="00DD684E" w:rsidP="00DD684E">
      <w:pPr>
        <w:pStyle w:val="ListParagraph"/>
        <w:numPr>
          <w:ilvl w:val="0"/>
          <w:numId w:val="15"/>
        </w:numPr>
        <w:rPr>
          <w:i/>
        </w:rPr>
      </w:pPr>
      <w:r w:rsidRPr="00677AC6">
        <w:rPr>
          <w:i/>
        </w:rPr>
        <w:t>Regulated energy = space heating + cooling + ventilation + domestic hot water (DHW) + fans + pumps</w:t>
      </w:r>
    </w:p>
    <w:p w:rsidR="00DD684E" w:rsidRPr="00677AC6" w:rsidRDefault="00DD684E" w:rsidP="00DD684E">
      <w:pPr>
        <w:pStyle w:val="ListParagraph"/>
        <w:numPr>
          <w:ilvl w:val="0"/>
          <w:numId w:val="15"/>
        </w:numPr>
        <w:rPr>
          <w:i/>
        </w:rPr>
      </w:pPr>
      <w:r w:rsidRPr="00677AC6">
        <w:rPr>
          <w:i/>
        </w:rPr>
        <w:lastRenderedPageBreak/>
        <w:t xml:space="preserve">Renewable energy (RE) = Energy production from building level and community renewables. </w:t>
      </w:r>
    </w:p>
    <w:p w:rsidR="00DD684E" w:rsidRDefault="00DD684E" w:rsidP="00DD684E">
      <w:pPr>
        <w:pStyle w:val="ListParagraph"/>
        <w:numPr>
          <w:ilvl w:val="0"/>
          <w:numId w:val="15"/>
        </w:numPr>
        <w:rPr>
          <w:i/>
        </w:rPr>
      </w:pPr>
      <w:r w:rsidRPr="00677AC6">
        <w:rPr>
          <w:i/>
        </w:rPr>
        <w:t>Net regulated energy = (Regulated energy) – (RE)</w:t>
      </w:r>
    </w:p>
    <w:p w:rsidR="002766EC" w:rsidRPr="00B06F32" w:rsidRDefault="002766EC" w:rsidP="00186ACC">
      <w:r w:rsidRPr="00B06F32">
        <w:t>Future climate change projections are simulated</w:t>
      </w:r>
      <w:r>
        <w:t xml:space="preserve"> on the final NZE model</w:t>
      </w:r>
      <w:r w:rsidR="009514C5">
        <w:t xml:space="preserve"> (model 5)</w:t>
      </w:r>
      <w:r w:rsidRPr="00B06F32">
        <w:t xml:space="preserve"> to assess the potential </w:t>
      </w:r>
      <w:r>
        <w:t xml:space="preserve">future </w:t>
      </w:r>
      <w:r w:rsidRPr="00B06F32">
        <w:t xml:space="preserve">change in energy targets and the magnitude of the risk of overheating in the dwellings. Weather files are obtained from a catalogue of current and future weather files developed by the PROMETHEUS project </w:t>
      </w:r>
      <w:r w:rsidRPr="00B06F32">
        <w:fldChar w:fldCharType="begin"/>
      </w:r>
      <w:r w:rsidR="00C530F7">
        <w:instrText xml:space="preserve"> ADDIN EN.CITE &lt;EndNote&gt;&lt;Cite&gt;&lt;Author&gt;Eames&lt;/Author&gt;&lt;Year&gt;2011&lt;/Year&gt;&lt;RecNum&gt;30&lt;/RecNum&gt;&lt;DisplayText&gt;[26]&lt;/DisplayText&gt;&lt;record&gt;&lt;rec-number&gt;30&lt;/rec-number&gt;&lt;foreign-keys&gt;&lt;key app="EN" db-id="dtvfvp55j2tw0ned5ruxvv51zwdxaxr9wft0" timestamp="1435773359"&gt;30&lt;/key&gt;&lt;/foreign-keys&gt;&lt;ref-type name="Journal Article"&gt;17&lt;/ref-type&gt;&lt;contributors&gt;&lt;authors&gt;&lt;author&gt;Eames, M&lt;/author&gt;&lt;author&gt;Kershaw, Tristan&lt;/author&gt;&lt;author&gt;Coley, David&lt;/author&gt;&lt;/authors&gt;&lt;/contributors&gt;&lt;titles&gt;&lt;title&gt;On the creation of future probabilistic design weather years from UKCP09&lt;/title&gt;&lt;secondary-title&gt;Building Services Engineering Research and Technology&lt;/secondary-title&gt;&lt;/titles&gt;&lt;periodical&gt;&lt;full-title&gt;Building Services Engineering Research and Technology&lt;/full-title&gt;&lt;/periodical&gt;&lt;pages&gt;127-142&lt;/pages&gt;&lt;volume&gt;32&lt;/volume&gt;&lt;number&gt;2&lt;/number&gt;&lt;dates&gt;&lt;year&gt;2011&lt;/year&gt;&lt;/dates&gt;&lt;isbn&gt;0143-6244&lt;/isbn&gt;&lt;urls&gt;&lt;/urls&gt;&lt;/record&gt;&lt;/Cite&gt;&lt;/EndNote&gt;</w:instrText>
      </w:r>
      <w:r w:rsidRPr="00B06F32">
        <w:fldChar w:fldCharType="separate"/>
      </w:r>
      <w:r w:rsidR="00C530F7">
        <w:rPr>
          <w:noProof/>
        </w:rPr>
        <w:t>[26]</w:t>
      </w:r>
      <w:r w:rsidRPr="00B06F32">
        <w:fldChar w:fldCharType="end"/>
      </w:r>
      <w:r w:rsidR="00B8707E">
        <w:t xml:space="preserve">. The following </w:t>
      </w:r>
      <w:r w:rsidRPr="00B06F32">
        <w:t xml:space="preserve">simulation </w:t>
      </w:r>
      <w:r w:rsidR="00B8707E">
        <w:t>run</w:t>
      </w:r>
      <w:r w:rsidR="00342350">
        <w:t>s are made</w:t>
      </w:r>
      <w:r w:rsidR="00B8707E">
        <w:t xml:space="preserve"> </w:t>
      </w:r>
      <w:r w:rsidRPr="00B06F32">
        <w:t xml:space="preserve">for </w:t>
      </w:r>
      <w:r w:rsidR="009D2F23">
        <w:t>assessing the</w:t>
      </w:r>
      <w:r w:rsidRPr="00B06F32">
        <w:t xml:space="preserve"> risk </w:t>
      </w:r>
      <w:r w:rsidR="009D2F23">
        <w:t>of overheating</w:t>
      </w:r>
      <w:r w:rsidRPr="00B06F32">
        <w:t xml:space="preserve">: </w:t>
      </w:r>
    </w:p>
    <w:p w:rsidR="002766EC" w:rsidRPr="00B06F32" w:rsidRDefault="002766EC" w:rsidP="002766EC">
      <w:pPr>
        <w:pStyle w:val="ListParagraph"/>
        <w:numPr>
          <w:ilvl w:val="0"/>
          <w:numId w:val="12"/>
        </w:numPr>
      </w:pPr>
      <w:r w:rsidRPr="00B06F32">
        <w:t xml:space="preserve">Current conditions – baseline weather years (test reference year (TRY)); </w:t>
      </w:r>
    </w:p>
    <w:p w:rsidR="002766EC" w:rsidRPr="00B06F32" w:rsidRDefault="002766EC" w:rsidP="002766EC">
      <w:pPr>
        <w:pStyle w:val="ListParagraph"/>
        <w:numPr>
          <w:ilvl w:val="0"/>
          <w:numId w:val="12"/>
        </w:numPr>
      </w:pPr>
      <w:r w:rsidRPr="00B06F32">
        <w:t xml:space="preserve">2030s climate period, high emissions (H), 50% probability (design summer year (DSY); </w:t>
      </w:r>
    </w:p>
    <w:p w:rsidR="002766EC" w:rsidRPr="00B06F32" w:rsidRDefault="002766EC" w:rsidP="002766EC">
      <w:pPr>
        <w:pStyle w:val="ListParagraph"/>
        <w:numPr>
          <w:ilvl w:val="0"/>
          <w:numId w:val="12"/>
        </w:numPr>
      </w:pPr>
      <w:r w:rsidRPr="00B06F32">
        <w:t xml:space="preserve">2050s climate period, high emissions, 50% probability (DSY); and </w:t>
      </w:r>
    </w:p>
    <w:p w:rsidR="002766EC" w:rsidRPr="00B06F32" w:rsidRDefault="002766EC" w:rsidP="002766EC">
      <w:pPr>
        <w:pStyle w:val="ListParagraph"/>
        <w:numPr>
          <w:ilvl w:val="0"/>
          <w:numId w:val="12"/>
        </w:numPr>
      </w:pPr>
      <w:r w:rsidRPr="00B06F32">
        <w:t>2080s climate period, high emissions, 50% probability (DSY).</w:t>
      </w:r>
    </w:p>
    <w:p w:rsidR="002766EC" w:rsidRDefault="00071BFD" w:rsidP="002766EC">
      <w:r>
        <w:t>T</w:t>
      </w:r>
      <w:r w:rsidR="002766EC">
        <w:t xml:space="preserve">he overheating assessment follows the Adaptive Methods Approach as outlined in: </w:t>
      </w:r>
      <w:r w:rsidR="002766EC" w:rsidRPr="00E6233B">
        <w:rPr>
          <w:i/>
        </w:rPr>
        <w:t>The limits of thermal comfort: avoiding overheating in European Buildings, Technical Memorandum 52</w:t>
      </w:r>
      <w:r w:rsidR="002766EC">
        <w:t xml:space="preserve"> (CIBSE TM52) </w:t>
      </w:r>
      <w:r w:rsidR="002766EC">
        <w:fldChar w:fldCharType="begin"/>
      </w:r>
      <w:r w:rsidR="00C530F7">
        <w:instrText xml:space="preserve"> ADDIN EN.CITE &lt;EndNote&gt;&lt;Cite&gt;&lt;Author&gt;Nicol&lt;/Author&gt;&lt;Year&gt;2013&lt;/Year&gt;&lt;RecNum&gt;106&lt;/RecNum&gt;&lt;DisplayText&gt;[27]&lt;/DisplayText&gt;&lt;record&gt;&lt;rec-number&gt;106&lt;/rec-number&gt;&lt;foreign-keys&gt;&lt;key app="EN" db-id="dtvfvp55j2tw0ned5ruxvv51zwdxaxr9wft0" timestamp="1487253341"&gt;106&lt;/key&gt;&lt;/foreign-keys&gt;&lt;ref-type name="Book"&gt;6&lt;/ref-type&gt;&lt;contributors&gt;&lt;authors&gt;&lt;author&gt;Nicol, Fergus&lt;/author&gt;&lt;author&gt;Spires, Brian&lt;/author&gt;&lt;/authors&gt;&lt;secondary-authors&gt;&lt;author&gt;Craig, Bonnie&lt;/author&gt;&lt;/secondary-authors&gt;&lt;/contributors&gt;&lt;titles&gt;&lt;title&gt;The limits of thermal comfort: avoiding overheating in European buildings: CIBSE TM52: 2013&lt;/title&gt;&lt;/titles&gt;&lt;pages&gt;18&lt;/pages&gt;&lt;dates&gt;&lt;year&gt;2013&lt;/year&gt;&lt;/dates&gt;&lt;pub-location&gt;London&lt;/pub-location&gt;&lt;publisher&gt;The Chartered Institution of Building Services Engineers&lt;/publisher&gt;&lt;isbn&gt;978-1-906846-34-3&lt;/isbn&gt;&lt;urls&gt;&lt;/urls&gt;&lt;/record&gt;&lt;/Cite&gt;&lt;/EndNote&gt;</w:instrText>
      </w:r>
      <w:r w:rsidR="002766EC">
        <w:fldChar w:fldCharType="separate"/>
      </w:r>
      <w:r w:rsidR="00C530F7">
        <w:rPr>
          <w:noProof/>
        </w:rPr>
        <w:t>[27]</w:t>
      </w:r>
      <w:r w:rsidR="002766EC">
        <w:fldChar w:fldCharType="end"/>
      </w:r>
      <w:r w:rsidR="002766EC">
        <w:t xml:space="preserve">. </w:t>
      </w:r>
      <w:r w:rsidR="002766EC" w:rsidRPr="00E6233B">
        <w:t xml:space="preserve">The adaptive method is a dynamic threshold based on changes in external temperature which also includes levels of occupant sensitivity. </w:t>
      </w:r>
      <w:r w:rsidR="002766EC">
        <w:t xml:space="preserve">According to this method, comfortable temperatures are based on adaptation to external temperatures during the preceding few days, i.e. the running mean. The assessment considers the level of thermal expectation recommended for the occupants. </w:t>
      </w:r>
      <w:r w:rsidR="00D707C6">
        <w:t>N</w:t>
      </w:r>
      <w:r w:rsidR="002766EC">
        <w:t>ew dwellings</w:t>
      </w:r>
      <w:r w:rsidR="00D707C6">
        <w:t xml:space="preserve"> are</w:t>
      </w:r>
      <w:r w:rsidR="002766EC">
        <w:t xml:space="preserve"> assessed using Category II –</w:t>
      </w:r>
      <w:r w:rsidR="002766EC">
        <w:rPr>
          <w:i/>
        </w:rPr>
        <w:t>Normal expectation (for new buildings and renovations)</w:t>
      </w:r>
      <w:r w:rsidR="002766EC">
        <w:t>. Three criterion of the adaptive comfort method provide a robust and balanced assessment. If two or more of these criteria were met, the room is deemed to have overheated:</w:t>
      </w:r>
    </w:p>
    <w:p w:rsidR="002766EC" w:rsidRDefault="002766EC" w:rsidP="002766EC">
      <w:pPr>
        <w:pStyle w:val="ListParagraph"/>
        <w:numPr>
          <w:ilvl w:val="0"/>
          <w:numId w:val="13"/>
        </w:numPr>
      </w:pPr>
      <w:r w:rsidRPr="001D63DF">
        <w:rPr>
          <w:b/>
          <w:i/>
        </w:rPr>
        <w:t>Criterion 1: hours of exceedance:</w:t>
      </w:r>
      <w:r>
        <w:t xml:space="preserve"> The number of hours during which ∆T is greater than or equal to one degree (K) during the recommended period May to September (or available period) inclusive shall not be more than 3 per cent of occupied hours.</w:t>
      </w:r>
    </w:p>
    <w:p w:rsidR="002766EC" w:rsidRDefault="002766EC" w:rsidP="002766EC">
      <w:pPr>
        <w:pStyle w:val="ListParagraph"/>
        <w:numPr>
          <w:ilvl w:val="0"/>
          <w:numId w:val="13"/>
        </w:numPr>
      </w:pPr>
      <w:r w:rsidRPr="001D63DF">
        <w:rPr>
          <w:b/>
          <w:i/>
        </w:rPr>
        <w:t>Criterion 2: daily weighted exceedance (W</w:t>
      </w:r>
      <w:r w:rsidRPr="001D63DF">
        <w:rPr>
          <w:b/>
          <w:i/>
          <w:vertAlign w:val="subscript"/>
        </w:rPr>
        <w:t>e</w:t>
      </w:r>
      <w:r w:rsidRPr="001D63DF">
        <w:rPr>
          <w:b/>
          <w:i/>
        </w:rPr>
        <w:t>):</w:t>
      </w:r>
      <w:r>
        <w:t xml:space="preserve"> the time (hours and part hours) during which the operative temperature exceeds the specified range during the occupied hours, weighted by a factor that is a function depending on by how many degrees the range has been exceeded. We shall be ≤6 hours in any one day.</w:t>
      </w:r>
    </w:p>
    <w:p w:rsidR="002766EC" w:rsidRDefault="002766EC" w:rsidP="002766EC">
      <w:pPr>
        <w:pStyle w:val="ListParagraph"/>
        <w:numPr>
          <w:ilvl w:val="0"/>
          <w:numId w:val="13"/>
        </w:numPr>
      </w:pPr>
      <w:r w:rsidRPr="001D63DF">
        <w:rPr>
          <w:b/>
          <w:i/>
        </w:rPr>
        <w:t>Criterion 3: upper limit temperature:</w:t>
      </w:r>
      <w:r>
        <w:t xml:space="preserve"> the absolute maximum value for the indoor operative temperature: ∆T shall not exceed 4K.</w:t>
      </w:r>
    </w:p>
    <w:p w:rsidR="002766EC" w:rsidRDefault="00E66B0D" w:rsidP="002766EC">
      <w:r>
        <w:t>Other</w:t>
      </w:r>
      <w:r w:rsidR="006B59AB">
        <w:t xml:space="preserve"> modelling assumptions made</w:t>
      </w:r>
      <w:r w:rsidR="002766EC">
        <w:t xml:space="preserve"> for overheating simulation include the following:</w:t>
      </w:r>
    </w:p>
    <w:p w:rsidR="002766EC" w:rsidRDefault="002766EC" w:rsidP="002766EC">
      <w:pPr>
        <w:pStyle w:val="ListParagraph"/>
        <w:numPr>
          <w:ilvl w:val="0"/>
          <w:numId w:val="14"/>
        </w:numPr>
      </w:pPr>
      <w:r>
        <w:t>Activity level: 90 metabolic rate (met)</w:t>
      </w:r>
    </w:p>
    <w:p w:rsidR="002766EC" w:rsidRDefault="002766EC" w:rsidP="002766EC">
      <w:pPr>
        <w:pStyle w:val="ListParagraph"/>
        <w:numPr>
          <w:ilvl w:val="0"/>
          <w:numId w:val="14"/>
        </w:numPr>
      </w:pPr>
      <w:r>
        <w:t>Clothing level: 0.69 clothing insulation (</w:t>
      </w:r>
      <w:proofErr w:type="spellStart"/>
      <w:r>
        <w:t>clo</w:t>
      </w:r>
      <w:proofErr w:type="spellEnd"/>
      <w:r>
        <w:t>)</w:t>
      </w:r>
    </w:p>
    <w:p w:rsidR="002766EC" w:rsidRPr="00163351" w:rsidRDefault="002766EC" w:rsidP="001D63DF">
      <w:pPr>
        <w:pStyle w:val="ListParagraph"/>
        <w:numPr>
          <w:ilvl w:val="0"/>
          <w:numId w:val="14"/>
        </w:numPr>
      </w:pPr>
      <w:r>
        <w:t>Mean radiant temperature, external temperature, air speed, relative humidity and occupancy are from the weather files and the model respectively.</w:t>
      </w:r>
    </w:p>
    <w:p w:rsidR="00DD684E" w:rsidRPr="00186ACC" w:rsidRDefault="008F19C4" w:rsidP="001D63DF">
      <w:pPr>
        <w:pStyle w:val="Heading1"/>
      </w:pPr>
      <w:r>
        <w:t>4.</w:t>
      </w:r>
      <w:r>
        <w:tab/>
      </w:r>
      <w:r w:rsidR="00920B48">
        <w:t>Characteristics of</w:t>
      </w:r>
      <w:r w:rsidR="00984705">
        <w:t xml:space="preserve"> the</w:t>
      </w:r>
      <w:r w:rsidR="00920B48">
        <w:t xml:space="preserve"> c</w:t>
      </w:r>
      <w:r w:rsidR="00DD684E" w:rsidRPr="00186ACC">
        <w:t>ase study dwellings</w:t>
      </w:r>
    </w:p>
    <w:p w:rsidR="007F25B6" w:rsidRDefault="00DD684E" w:rsidP="00163351">
      <w:r>
        <w:t>The case study dwellings are a part of a new development being built by a</w:t>
      </w:r>
      <w:r w:rsidR="00C47B6F">
        <w:t xml:space="preserve"> l</w:t>
      </w:r>
      <w:r w:rsidR="0006139C">
        <w:t>eading</w:t>
      </w:r>
      <w:r>
        <w:t xml:space="preserve"> housing association in York, England. The </w:t>
      </w:r>
      <w:r w:rsidR="00571BE5">
        <w:t>development</w:t>
      </w:r>
      <w:r>
        <w:t xml:space="preserve"> feature</w:t>
      </w:r>
      <w:r w:rsidR="00853172">
        <w:t>s</w:t>
      </w:r>
      <w:r>
        <w:t xml:space="preserve"> a wide range of different dwelling sizes and forms, all  served by a gas boiler district heating system located in an on-site energy centre. All </w:t>
      </w:r>
      <w:r w:rsidR="00EB51E9">
        <w:t xml:space="preserve">the </w:t>
      </w:r>
      <w:r>
        <w:t xml:space="preserve">dwellings have been designed to a fabric first approach, to ensure that heat loss is kept to a </w:t>
      </w:r>
      <w:r>
        <w:lastRenderedPageBreak/>
        <w:t>minimum through good thermal insulation, an</w:t>
      </w:r>
      <w:r w:rsidR="00956E37">
        <w:t>d</w:t>
      </w:r>
      <w:r>
        <w:t xml:space="preserve"> good level</w:t>
      </w:r>
      <w:r w:rsidR="00AB64D5">
        <w:t>s</w:t>
      </w:r>
      <w:r>
        <w:t xml:space="preserve"> of air tightness. To represent common dwelling types, a semi-detached and a detached dwelling were selected as case studies</w:t>
      </w:r>
      <w:r w:rsidR="00C36584">
        <w:t xml:space="preserve">, </w:t>
      </w:r>
      <w:r>
        <w:t xml:space="preserve">both have </w:t>
      </w:r>
      <w:r w:rsidR="00367C95">
        <w:t>north</w:t>
      </w:r>
      <w:r w:rsidR="007F25B6">
        <w:t xml:space="preserve">east facing </w:t>
      </w:r>
      <w:r w:rsidR="00C36584">
        <w:t>facades</w:t>
      </w:r>
      <w:r w:rsidR="007F25B6">
        <w:t xml:space="preserve">. </w:t>
      </w:r>
      <w:r w:rsidR="00DB7E7C">
        <w:t>The two case study dwellings will be built in autumn 2017.</w:t>
      </w:r>
    </w:p>
    <w:p w:rsidR="007F25B6" w:rsidRDefault="007F25B6" w:rsidP="007F25B6">
      <w:pPr>
        <w:pStyle w:val="ListParagraph"/>
        <w:numPr>
          <w:ilvl w:val="0"/>
          <w:numId w:val="8"/>
        </w:numPr>
      </w:pPr>
      <w:r w:rsidRPr="001D63DF">
        <w:rPr>
          <w:b/>
        </w:rPr>
        <w:t>Dw</w:t>
      </w:r>
      <w:r w:rsidR="007E733A" w:rsidRPr="001D63DF">
        <w:rPr>
          <w:b/>
        </w:rPr>
        <w:t>elling A</w:t>
      </w:r>
      <w:r w:rsidR="007E733A">
        <w:t xml:space="preserve"> is a </w:t>
      </w:r>
      <w:r w:rsidR="005E7122">
        <w:t>two</w:t>
      </w:r>
      <w:r w:rsidR="007E733A">
        <w:t xml:space="preserve"> bed semi-detached with 84.4</w:t>
      </w:r>
      <w:r>
        <w:t>m</w:t>
      </w:r>
      <w:r w:rsidRPr="000D5FE8">
        <w:rPr>
          <w:vertAlign w:val="superscript"/>
        </w:rPr>
        <w:t>2</w:t>
      </w:r>
      <w:r w:rsidR="007E733A">
        <w:t xml:space="preserve"> area;</w:t>
      </w:r>
    </w:p>
    <w:p w:rsidR="007F25B6" w:rsidRDefault="007F25B6" w:rsidP="007F25B6">
      <w:pPr>
        <w:pStyle w:val="ListParagraph"/>
        <w:numPr>
          <w:ilvl w:val="0"/>
          <w:numId w:val="8"/>
        </w:numPr>
      </w:pPr>
      <w:r w:rsidRPr="001D63DF">
        <w:rPr>
          <w:b/>
        </w:rPr>
        <w:t>Dwelling B</w:t>
      </w:r>
      <w:r>
        <w:t xml:space="preserve"> is a </w:t>
      </w:r>
      <w:r w:rsidR="005E7122">
        <w:t>three</w:t>
      </w:r>
      <w:r w:rsidR="007E733A">
        <w:t xml:space="preserve"> bed detached with 129.6</w:t>
      </w:r>
      <w:r>
        <w:t>m</w:t>
      </w:r>
      <w:r w:rsidRPr="000D5FE8">
        <w:rPr>
          <w:vertAlign w:val="superscript"/>
        </w:rPr>
        <w:t>2</w:t>
      </w:r>
    </w:p>
    <w:p w:rsidR="007F25B6" w:rsidRDefault="00CF3453" w:rsidP="007F25B6">
      <w:r>
        <w:t>Figure</w:t>
      </w:r>
      <w:r w:rsidR="00982AA5">
        <w:t xml:space="preserve"> </w:t>
      </w:r>
      <w:r>
        <w:t>1</w:t>
      </w:r>
      <w:r w:rsidR="007F25B6">
        <w:t xml:space="preserve"> </w:t>
      </w:r>
      <w:r>
        <w:t>shows the form of the dwellings as modelled in IES</w:t>
      </w:r>
      <w:r w:rsidR="007F25B6">
        <w:t xml:space="preserve">. </w:t>
      </w:r>
    </w:p>
    <w:p w:rsidR="007F25B6" w:rsidRDefault="007E733A" w:rsidP="007F25B6">
      <w:r>
        <w:rPr>
          <w:noProof/>
          <w:lang w:eastAsia="en-GB"/>
        </w:rPr>
        <w:drawing>
          <wp:inline distT="0" distB="0" distL="0" distR="0" wp14:anchorId="78264C4A" wp14:editId="7049AA04">
            <wp:extent cx="2066925" cy="2169167"/>
            <wp:effectExtent l="0" t="0" r="0" b="2540"/>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67616" cy="2169892"/>
                    </a:xfrm>
                    <a:prstGeom prst="rect">
                      <a:avLst/>
                    </a:prstGeom>
                  </pic:spPr>
                </pic:pic>
              </a:graphicData>
            </a:graphic>
          </wp:inline>
        </w:drawing>
      </w:r>
      <w:r>
        <w:t xml:space="preserve">  </w:t>
      </w:r>
      <w:r>
        <w:rPr>
          <w:noProof/>
          <w:lang w:eastAsia="en-GB"/>
        </w:rPr>
        <w:drawing>
          <wp:inline distT="0" distB="0" distL="0" distR="0" wp14:anchorId="550C5450" wp14:editId="550B5A73">
            <wp:extent cx="3431367" cy="2124075"/>
            <wp:effectExtent l="0" t="0" r="0" b="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433025" cy="2125101"/>
                    </a:xfrm>
                    <a:prstGeom prst="rect">
                      <a:avLst/>
                    </a:prstGeom>
                  </pic:spPr>
                </pic:pic>
              </a:graphicData>
            </a:graphic>
          </wp:inline>
        </w:drawing>
      </w:r>
    </w:p>
    <w:p w:rsidR="007F25B6" w:rsidRDefault="007F25B6" w:rsidP="007F25B6">
      <w:r w:rsidRPr="008D4B0E">
        <w:rPr>
          <w:b/>
        </w:rPr>
        <w:t>Figure 1</w:t>
      </w:r>
      <w:r w:rsidR="00CF3453">
        <w:t xml:space="preserve"> Dwelling A</w:t>
      </w:r>
      <w:r>
        <w:t xml:space="preserve"> (left); Dwelling </w:t>
      </w:r>
      <w:r w:rsidR="00CF3453">
        <w:t>B</w:t>
      </w:r>
      <w:r>
        <w:t xml:space="preserve"> (right)</w:t>
      </w:r>
    </w:p>
    <w:p w:rsidR="007F25B6" w:rsidRPr="00982AA5" w:rsidRDefault="007F25B6" w:rsidP="007F25B6">
      <w:pPr>
        <w:rPr>
          <w:color w:val="FF0000"/>
        </w:rPr>
      </w:pPr>
      <w:r w:rsidRPr="00715EBC">
        <w:t xml:space="preserve">Table </w:t>
      </w:r>
      <w:r w:rsidR="00FC67AD">
        <w:t>1</w:t>
      </w:r>
      <w:r>
        <w:t xml:space="preserve"> indicates built details for the </w:t>
      </w:r>
      <w:r w:rsidRPr="001D63DF">
        <w:rPr>
          <w:i/>
        </w:rPr>
        <w:t>baseline dwellings</w:t>
      </w:r>
      <w:r>
        <w:t>.</w:t>
      </w:r>
      <w:r w:rsidR="00982AA5">
        <w:t xml:space="preserve"> </w:t>
      </w:r>
      <w:r w:rsidR="00AB373E">
        <w:t xml:space="preserve">The baseline dwellings were originally designed to satisfy Code for sustainable Homes </w:t>
      </w:r>
      <w:r w:rsidR="00607F24">
        <w:rPr>
          <w:rStyle w:val="EndnoteReference"/>
        </w:rPr>
        <w:endnoteReference w:id="1"/>
      </w:r>
      <w:r w:rsidR="00AB373E">
        <w:t xml:space="preserve">Level 4. </w:t>
      </w:r>
      <w:r w:rsidR="00982AA5">
        <w:t>Fabric U-values, occupancy (three occupants per dwellings), domestic hot water (DHW) consumption, and gains were detailed in the</w:t>
      </w:r>
      <w:r w:rsidR="006709BA">
        <w:t xml:space="preserve"> UK’s</w:t>
      </w:r>
      <w:r w:rsidR="00982AA5">
        <w:t xml:space="preserve"> Standard Assessment Procedure (SAP) documents provided by the architect. Operational profiles for occupancy used in the model are those developed by the UK National Calculation Methodology (NCM). The profiles were also used to define DHW, lighting and appliance use.</w:t>
      </w:r>
    </w:p>
    <w:p w:rsidR="007F25B6" w:rsidRDefault="007F25B6" w:rsidP="007F25B6">
      <w:r>
        <w:rPr>
          <w:b/>
        </w:rPr>
        <w:t xml:space="preserve">Table </w:t>
      </w:r>
      <w:r w:rsidR="00FC67AD">
        <w:rPr>
          <w:b/>
        </w:rPr>
        <w:t>1</w:t>
      </w:r>
      <w:r>
        <w:rPr>
          <w:b/>
        </w:rPr>
        <w:t xml:space="preserve"> </w:t>
      </w:r>
      <w:r w:rsidR="00C904BB">
        <w:t>C</w:t>
      </w:r>
      <w:r>
        <w:t>haracteristics</w:t>
      </w:r>
      <w:r w:rsidR="00C904BB">
        <w:t xml:space="preserve"> of the </w:t>
      </w:r>
      <w:r w:rsidR="00CE54F3">
        <w:t xml:space="preserve">case study dwellings for the </w:t>
      </w:r>
      <w:r w:rsidR="00C904BB">
        <w:t>building energy 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4111"/>
        <w:gridCol w:w="2693"/>
      </w:tblGrid>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Building</w:t>
            </w:r>
            <w:r w:rsidR="00C904BB">
              <w:rPr>
                <w:rFonts w:cs="Arial"/>
                <w:b/>
                <w:sz w:val="20"/>
                <w:szCs w:val="20"/>
              </w:rPr>
              <w:t xml:space="preserve"> </w:t>
            </w:r>
            <w:r w:rsidRPr="00897DAA">
              <w:rPr>
                <w:rFonts w:cs="Arial"/>
                <w:b/>
                <w:sz w:val="20"/>
                <w:szCs w:val="20"/>
              </w:rPr>
              <w:t>element</w:t>
            </w:r>
          </w:p>
        </w:tc>
        <w:tc>
          <w:tcPr>
            <w:tcW w:w="4111" w:type="dxa"/>
          </w:tcPr>
          <w:p w:rsidR="007F25B6" w:rsidRPr="00897DAA" w:rsidRDefault="007F25B6" w:rsidP="00A55017">
            <w:pPr>
              <w:spacing w:before="60" w:after="60" w:line="240" w:lineRule="auto"/>
              <w:rPr>
                <w:rFonts w:cs="Arial"/>
                <w:b/>
                <w:sz w:val="20"/>
                <w:szCs w:val="20"/>
              </w:rPr>
            </w:pPr>
            <w:r w:rsidRPr="00897DAA">
              <w:rPr>
                <w:rFonts w:cs="Arial"/>
                <w:b/>
                <w:sz w:val="20"/>
                <w:szCs w:val="20"/>
              </w:rPr>
              <w:t>Type</w:t>
            </w:r>
          </w:p>
        </w:tc>
        <w:tc>
          <w:tcPr>
            <w:tcW w:w="26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Final design parameter</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External wall U-value</w:t>
            </w:r>
          </w:p>
        </w:tc>
        <w:tc>
          <w:tcPr>
            <w:tcW w:w="4111" w:type="dxa"/>
          </w:tcPr>
          <w:p w:rsidR="007F25B6" w:rsidRPr="00897DAA" w:rsidRDefault="007F25B6" w:rsidP="00A55017">
            <w:pPr>
              <w:spacing w:before="60" w:after="60" w:line="240" w:lineRule="auto"/>
              <w:rPr>
                <w:rFonts w:cs="Arial"/>
                <w:sz w:val="20"/>
                <w:szCs w:val="20"/>
              </w:rPr>
            </w:pPr>
            <w:r w:rsidRPr="00897DAA">
              <w:rPr>
                <w:rFonts w:cs="Arial"/>
                <w:sz w:val="20"/>
                <w:szCs w:val="20"/>
              </w:rPr>
              <w:t>Filled cavity wall</w:t>
            </w:r>
          </w:p>
        </w:tc>
        <w:tc>
          <w:tcPr>
            <w:tcW w:w="2693" w:type="dxa"/>
          </w:tcPr>
          <w:p w:rsidR="007F25B6" w:rsidRPr="00897DAA" w:rsidRDefault="007F25B6" w:rsidP="00A55017">
            <w:pPr>
              <w:spacing w:before="60" w:after="60" w:line="240" w:lineRule="auto"/>
              <w:rPr>
                <w:rFonts w:cs="Arial"/>
                <w:sz w:val="20"/>
                <w:szCs w:val="20"/>
              </w:rPr>
            </w:pPr>
            <w:r w:rsidRPr="00897DAA">
              <w:rPr>
                <w:rFonts w:cs="Arial"/>
                <w:sz w:val="20"/>
                <w:szCs w:val="20"/>
              </w:rPr>
              <w:t>0.17 W/(m</w:t>
            </w:r>
            <w:r w:rsidRPr="00897DAA">
              <w:rPr>
                <w:rFonts w:cs="Arial"/>
                <w:sz w:val="20"/>
                <w:szCs w:val="20"/>
                <w:vertAlign w:val="superscript"/>
              </w:rPr>
              <w:t>2</w:t>
            </w:r>
            <w:r w:rsidRPr="00897DAA">
              <w:rPr>
                <w:rFonts w:cs="Arial"/>
                <w:sz w:val="20"/>
                <w:szCs w:val="20"/>
              </w:rPr>
              <w:t>.K)</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Roof U-value</w:t>
            </w:r>
          </w:p>
        </w:tc>
        <w:tc>
          <w:tcPr>
            <w:tcW w:w="4111" w:type="dxa"/>
          </w:tcPr>
          <w:p w:rsidR="007F25B6" w:rsidRPr="00897DAA" w:rsidRDefault="007F25B6" w:rsidP="00A55017">
            <w:pPr>
              <w:spacing w:before="60" w:after="60" w:line="240" w:lineRule="auto"/>
              <w:rPr>
                <w:rFonts w:cs="Arial"/>
                <w:sz w:val="20"/>
                <w:szCs w:val="20"/>
              </w:rPr>
            </w:pPr>
            <w:r w:rsidRPr="00897DAA">
              <w:rPr>
                <w:rFonts w:cs="Arial"/>
                <w:sz w:val="20"/>
                <w:szCs w:val="20"/>
              </w:rPr>
              <w:t>Pitched w/ 185mm insulation</w:t>
            </w:r>
          </w:p>
        </w:tc>
        <w:tc>
          <w:tcPr>
            <w:tcW w:w="2693" w:type="dxa"/>
          </w:tcPr>
          <w:p w:rsidR="007F25B6" w:rsidRPr="00897DAA" w:rsidRDefault="007F25B6" w:rsidP="00A55017">
            <w:pPr>
              <w:spacing w:before="60" w:after="60" w:line="240" w:lineRule="auto"/>
              <w:rPr>
                <w:rFonts w:cs="Arial"/>
                <w:sz w:val="20"/>
                <w:szCs w:val="20"/>
              </w:rPr>
            </w:pPr>
            <w:r w:rsidRPr="00897DAA">
              <w:rPr>
                <w:rFonts w:cs="Arial"/>
                <w:sz w:val="20"/>
                <w:szCs w:val="20"/>
              </w:rPr>
              <w:t>0.15 W/(m</w:t>
            </w:r>
            <w:r w:rsidRPr="00897DAA">
              <w:rPr>
                <w:rFonts w:cs="Arial"/>
                <w:sz w:val="20"/>
                <w:szCs w:val="20"/>
                <w:vertAlign w:val="superscript"/>
              </w:rPr>
              <w:t>2</w:t>
            </w:r>
            <w:r w:rsidRPr="00897DAA">
              <w:rPr>
                <w:rFonts w:cs="Arial"/>
                <w:sz w:val="20"/>
                <w:szCs w:val="20"/>
              </w:rPr>
              <w:t>.K)</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Ground floor U-value</w:t>
            </w:r>
          </w:p>
        </w:tc>
        <w:tc>
          <w:tcPr>
            <w:tcW w:w="4111" w:type="dxa"/>
          </w:tcPr>
          <w:p w:rsidR="007F25B6" w:rsidRPr="00897DAA" w:rsidRDefault="007F25B6" w:rsidP="00A55017">
            <w:pPr>
              <w:spacing w:before="60" w:after="60" w:line="240" w:lineRule="auto"/>
              <w:rPr>
                <w:rFonts w:cs="Arial"/>
                <w:sz w:val="20"/>
                <w:szCs w:val="20"/>
              </w:rPr>
            </w:pPr>
            <w:r w:rsidRPr="00897DAA">
              <w:rPr>
                <w:rFonts w:cs="Arial"/>
                <w:sz w:val="20"/>
                <w:szCs w:val="20"/>
              </w:rPr>
              <w:t>Solid</w:t>
            </w:r>
          </w:p>
        </w:tc>
        <w:tc>
          <w:tcPr>
            <w:tcW w:w="2693" w:type="dxa"/>
          </w:tcPr>
          <w:p w:rsidR="007F25B6" w:rsidRPr="00897DAA" w:rsidRDefault="007F25B6" w:rsidP="00A55017">
            <w:pPr>
              <w:spacing w:before="60" w:after="60" w:line="240" w:lineRule="auto"/>
              <w:rPr>
                <w:rFonts w:cs="Arial"/>
                <w:sz w:val="20"/>
                <w:szCs w:val="20"/>
              </w:rPr>
            </w:pPr>
            <w:r w:rsidRPr="00897DAA">
              <w:rPr>
                <w:rFonts w:cs="Arial"/>
                <w:sz w:val="20"/>
                <w:szCs w:val="20"/>
              </w:rPr>
              <w:t>0.15 W/(m</w:t>
            </w:r>
            <w:r w:rsidRPr="00897DAA">
              <w:rPr>
                <w:rFonts w:cs="Arial"/>
                <w:sz w:val="20"/>
                <w:szCs w:val="20"/>
                <w:vertAlign w:val="superscript"/>
              </w:rPr>
              <w:t>2</w:t>
            </w:r>
            <w:r w:rsidRPr="00897DAA">
              <w:rPr>
                <w:rFonts w:cs="Arial"/>
                <w:sz w:val="20"/>
                <w:szCs w:val="20"/>
              </w:rPr>
              <w:t>.K)</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Window U-value</w:t>
            </w:r>
          </w:p>
        </w:tc>
        <w:tc>
          <w:tcPr>
            <w:tcW w:w="4111" w:type="dxa"/>
            <w:vMerge w:val="restart"/>
            <w:vAlign w:val="center"/>
          </w:tcPr>
          <w:p w:rsidR="007F25B6" w:rsidRPr="00897DAA" w:rsidRDefault="007F25B6" w:rsidP="00A55017">
            <w:pPr>
              <w:spacing w:before="60" w:after="60" w:line="240" w:lineRule="auto"/>
              <w:rPr>
                <w:rFonts w:cs="Arial"/>
                <w:sz w:val="20"/>
                <w:szCs w:val="20"/>
              </w:rPr>
            </w:pPr>
            <w:r w:rsidRPr="00897DAA">
              <w:rPr>
                <w:rFonts w:cs="Arial"/>
                <w:sz w:val="20"/>
                <w:szCs w:val="20"/>
              </w:rPr>
              <w:t>Double glazed in uPVC frame</w:t>
            </w:r>
          </w:p>
        </w:tc>
        <w:tc>
          <w:tcPr>
            <w:tcW w:w="2693" w:type="dxa"/>
          </w:tcPr>
          <w:p w:rsidR="007F25B6" w:rsidRPr="00897DAA" w:rsidRDefault="007F25B6" w:rsidP="00A55017">
            <w:pPr>
              <w:spacing w:before="60" w:after="60" w:line="240" w:lineRule="auto"/>
              <w:rPr>
                <w:rFonts w:cs="Arial"/>
                <w:sz w:val="20"/>
                <w:szCs w:val="20"/>
              </w:rPr>
            </w:pPr>
            <w:r w:rsidRPr="00897DAA">
              <w:rPr>
                <w:rFonts w:cs="Arial"/>
                <w:sz w:val="20"/>
                <w:szCs w:val="20"/>
              </w:rPr>
              <w:t>1.3 W/(m</w:t>
            </w:r>
            <w:r w:rsidRPr="00897DAA">
              <w:rPr>
                <w:rFonts w:cs="Arial"/>
                <w:sz w:val="20"/>
                <w:szCs w:val="20"/>
                <w:vertAlign w:val="superscript"/>
              </w:rPr>
              <w:t>2</w:t>
            </w:r>
            <w:r w:rsidRPr="00897DAA">
              <w:rPr>
                <w:rFonts w:cs="Arial"/>
                <w:sz w:val="20"/>
                <w:szCs w:val="20"/>
              </w:rPr>
              <w:t>.K)</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Window g-value</w:t>
            </w:r>
          </w:p>
        </w:tc>
        <w:tc>
          <w:tcPr>
            <w:tcW w:w="4111" w:type="dxa"/>
            <w:vMerge/>
          </w:tcPr>
          <w:p w:rsidR="007F25B6" w:rsidRPr="00897DAA" w:rsidRDefault="007F25B6" w:rsidP="00A55017">
            <w:pPr>
              <w:spacing w:before="60" w:after="60" w:line="240" w:lineRule="auto"/>
              <w:rPr>
                <w:rFonts w:cs="Arial"/>
                <w:sz w:val="20"/>
                <w:szCs w:val="20"/>
              </w:rPr>
            </w:pPr>
          </w:p>
        </w:tc>
        <w:tc>
          <w:tcPr>
            <w:tcW w:w="2693" w:type="dxa"/>
          </w:tcPr>
          <w:p w:rsidR="007F25B6" w:rsidRPr="00897DAA" w:rsidRDefault="007F25B6" w:rsidP="00A55017">
            <w:pPr>
              <w:spacing w:before="60" w:after="60" w:line="240" w:lineRule="auto"/>
              <w:rPr>
                <w:rFonts w:cs="Arial"/>
                <w:sz w:val="20"/>
                <w:szCs w:val="20"/>
              </w:rPr>
            </w:pPr>
            <w:r w:rsidRPr="00897DAA">
              <w:rPr>
                <w:rFonts w:cs="Arial"/>
                <w:sz w:val="20"/>
                <w:szCs w:val="20"/>
              </w:rPr>
              <w:t>0.4</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Door U-value</w:t>
            </w:r>
          </w:p>
        </w:tc>
        <w:tc>
          <w:tcPr>
            <w:tcW w:w="4111" w:type="dxa"/>
          </w:tcPr>
          <w:p w:rsidR="007F25B6" w:rsidRPr="00897DAA" w:rsidRDefault="007F25B6" w:rsidP="00A55017">
            <w:pPr>
              <w:spacing w:before="60" w:after="60" w:line="240" w:lineRule="auto"/>
              <w:rPr>
                <w:rFonts w:cs="Arial"/>
                <w:sz w:val="20"/>
                <w:szCs w:val="20"/>
              </w:rPr>
            </w:pPr>
            <w:r w:rsidRPr="00897DAA">
              <w:rPr>
                <w:rFonts w:cs="Arial"/>
                <w:sz w:val="20"/>
                <w:szCs w:val="20"/>
              </w:rPr>
              <w:t>Insulated</w:t>
            </w:r>
          </w:p>
        </w:tc>
        <w:tc>
          <w:tcPr>
            <w:tcW w:w="2693" w:type="dxa"/>
          </w:tcPr>
          <w:p w:rsidR="007F25B6" w:rsidRPr="00897DAA" w:rsidRDefault="007F25B6" w:rsidP="00A55017">
            <w:pPr>
              <w:spacing w:before="60" w:after="60" w:line="240" w:lineRule="auto"/>
              <w:rPr>
                <w:rFonts w:cs="Arial"/>
                <w:sz w:val="20"/>
                <w:szCs w:val="20"/>
              </w:rPr>
            </w:pPr>
            <w:r w:rsidRPr="00897DAA">
              <w:rPr>
                <w:rFonts w:cs="Arial"/>
                <w:sz w:val="20"/>
                <w:szCs w:val="20"/>
              </w:rPr>
              <w:t>1.4 W/(m</w:t>
            </w:r>
            <w:r w:rsidRPr="00897DAA">
              <w:rPr>
                <w:rFonts w:cs="Arial"/>
                <w:sz w:val="20"/>
                <w:szCs w:val="20"/>
                <w:vertAlign w:val="superscript"/>
              </w:rPr>
              <w:t>2</w:t>
            </w:r>
            <w:r w:rsidRPr="00897DAA">
              <w:rPr>
                <w:rFonts w:cs="Arial"/>
                <w:sz w:val="20"/>
                <w:szCs w:val="20"/>
              </w:rPr>
              <w:t>.K)</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Design air permeability</w:t>
            </w:r>
          </w:p>
        </w:tc>
        <w:tc>
          <w:tcPr>
            <w:tcW w:w="6804" w:type="dxa"/>
            <w:gridSpan w:val="2"/>
          </w:tcPr>
          <w:p w:rsidR="007F25B6" w:rsidRPr="00897DAA" w:rsidRDefault="007F25B6" w:rsidP="00A55017">
            <w:pPr>
              <w:pStyle w:val="TableText"/>
              <w:spacing w:before="60" w:after="60" w:line="240" w:lineRule="auto"/>
              <w:rPr>
                <w:rFonts w:asciiTheme="minorHAnsi" w:hAnsiTheme="minorHAnsi"/>
                <w:sz w:val="20"/>
              </w:rPr>
            </w:pPr>
            <w:r w:rsidRPr="00897DAA">
              <w:rPr>
                <w:rFonts w:asciiTheme="minorHAnsi" w:hAnsiTheme="minorHAnsi" w:cs="Arial"/>
                <w:sz w:val="20"/>
              </w:rPr>
              <w:t>6 m</w:t>
            </w:r>
            <w:r w:rsidRPr="00897DAA">
              <w:rPr>
                <w:rFonts w:asciiTheme="minorHAnsi" w:hAnsiTheme="minorHAnsi" w:cs="Arial"/>
                <w:sz w:val="20"/>
                <w:vertAlign w:val="superscript"/>
              </w:rPr>
              <w:t>3</w:t>
            </w:r>
            <w:r w:rsidRPr="00897DAA">
              <w:rPr>
                <w:rFonts w:asciiTheme="minorHAnsi" w:hAnsiTheme="minorHAnsi" w:cs="Arial"/>
                <w:sz w:val="20"/>
              </w:rPr>
              <w:t>/(h.m</w:t>
            </w:r>
            <w:r w:rsidRPr="00897DAA">
              <w:rPr>
                <w:rFonts w:asciiTheme="minorHAnsi" w:hAnsiTheme="minorHAnsi" w:cs="Arial"/>
                <w:sz w:val="20"/>
                <w:vertAlign w:val="superscript"/>
              </w:rPr>
              <w:t>2</w:t>
            </w:r>
            <w:r w:rsidRPr="00897DAA">
              <w:rPr>
                <w:rFonts w:asciiTheme="minorHAnsi" w:hAnsiTheme="minorHAnsi" w:cs="Arial"/>
                <w:sz w:val="20"/>
              </w:rPr>
              <w:t>)@50pa</w:t>
            </w:r>
          </w:p>
        </w:tc>
      </w:tr>
      <w:tr w:rsidR="007F25B6" w:rsidRPr="00D611C6" w:rsidTr="00A55017">
        <w:tc>
          <w:tcPr>
            <w:tcW w:w="2093" w:type="dxa"/>
            <w:vMerge w:val="restart"/>
          </w:tcPr>
          <w:p w:rsidR="007F25B6" w:rsidRPr="00897DAA" w:rsidRDefault="007F25B6" w:rsidP="00A55017">
            <w:pPr>
              <w:spacing w:before="60" w:after="60" w:line="240" w:lineRule="auto"/>
              <w:rPr>
                <w:rFonts w:cs="Arial"/>
                <w:b/>
                <w:sz w:val="20"/>
                <w:szCs w:val="20"/>
              </w:rPr>
            </w:pPr>
            <w:r w:rsidRPr="00897DAA">
              <w:rPr>
                <w:rFonts w:cs="Arial"/>
                <w:b/>
                <w:sz w:val="20"/>
                <w:szCs w:val="20"/>
              </w:rPr>
              <w:t>Heating</w:t>
            </w:r>
          </w:p>
        </w:tc>
        <w:tc>
          <w:tcPr>
            <w:tcW w:w="6804" w:type="dxa"/>
            <w:gridSpan w:val="2"/>
          </w:tcPr>
          <w:p w:rsidR="007F25B6" w:rsidRPr="00897DAA" w:rsidRDefault="007F25B6" w:rsidP="00A55017">
            <w:pPr>
              <w:pStyle w:val="TableText"/>
              <w:spacing w:before="60" w:after="60" w:line="240" w:lineRule="auto"/>
              <w:rPr>
                <w:rFonts w:asciiTheme="minorHAnsi" w:hAnsiTheme="minorHAnsi"/>
                <w:sz w:val="20"/>
              </w:rPr>
            </w:pPr>
            <w:r w:rsidRPr="00897DAA">
              <w:rPr>
                <w:rFonts w:asciiTheme="minorHAnsi" w:hAnsiTheme="minorHAnsi" w:cs="Arial"/>
                <w:sz w:val="20"/>
              </w:rPr>
              <w:t>Gas boiler – district heat (eff. 0.876)</w:t>
            </w:r>
          </w:p>
        </w:tc>
      </w:tr>
      <w:tr w:rsidR="007F25B6" w:rsidRPr="00D611C6" w:rsidTr="00A55017">
        <w:tc>
          <w:tcPr>
            <w:tcW w:w="2093" w:type="dxa"/>
            <w:vMerge/>
          </w:tcPr>
          <w:p w:rsidR="007F25B6" w:rsidRPr="00897DAA" w:rsidRDefault="007F25B6" w:rsidP="00A55017">
            <w:pPr>
              <w:spacing w:before="60" w:after="60" w:line="240" w:lineRule="auto"/>
              <w:rPr>
                <w:rFonts w:cs="Arial"/>
                <w:b/>
                <w:sz w:val="20"/>
                <w:szCs w:val="20"/>
              </w:rPr>
            </w:pPr>
          </w:p>
        </w:tc>
        <w:tc>
          <w:tcPr>
            <w:tcW w:w="6804" w:type="dxa"/>
            <w:gridSpan w:val="2"/>
          </w:tcPr>
          <w:p w:rsidR="007F25B6" w:rsidRPr="00897DAA" w:rsidRDefault="007F25B6" w:rsidP="00A55017">
            <w:pPr>
              <w:pStyle w:val="TableText"/>
              <w:spacing w:before="60" w:after="60" w:line="240" w:lineRule="auto"/>
              <w:rPr>
                <w:rFonts w:asciiTheme="minorHAnsi" w:hAnsiTheme="minorHAnsi" w:cs="Arial"/>
                <w:sz w:val="20"/>
              </w:rPr>
            </w:pPr>
            <w:r w:rsidRPr="00897DAA">
              <w:rPr>
                <w:rFonts w:asciiTheme="minorHAnsi" w:hAnsiTheme="minorHAnsi" w:cs="Arial"/>
                <w:sz w:val="20"/>
              </w:rPr>
              <w:t>Set points: Living: 21</w:t>
            </w:r>
            <w:r w:rsidRPr="00897DAA">
              <w:rPr>
                <w:rFonts w:asciiTheme="minorHAnsi" w:hAnsiTheme="minorHAnsi" w:cs="Arial"/>
                <w:sz w:val="20"/>
                <w:vertAlign w:val="superscript"/>
              </w:rPr>
              <w:t>o</w:t>
            </w:r>
            <w:r w:rsidRPr="00897DAA">
              <w:rPr>
                <w:rFonts w:asciiTheme="minorHAnsi" w:hAnsiTheme="minorHAnsi" w:cs="Arial"/>
                <w:sz w:val="20"/>
              </w:rPr>
              <w:t>C; all others 18</w:t>
            </w:r>
            <w:r w:rsidRPr="00897DAA">
              <w:rPr>
                <w:rFonts w:asciiTheme="minorHAnsi" w:hAnsiTheme="minorHAnsi" w:cs="Arial"/>
                <w:sz w:val="20"/>
                <w:vertAlign w:val="superscript"/>
              </w:rPr>
              <w:t>o</w:t>
            </w:r>
            <w:r w:rsidRPr="00897DAA">
              <w:rPr>
                <w:rFonts w:asciiTheme="minorHAnsi" w:hAnsiTheme="minorHAnsi" w:cs="Arial"/>
                <w:sz w:val="20"/>
              </w:rPr>
              <w:t>C</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Mechanical ventilation</w:t>
            </w:r>
          </w:p>
        </w:tc>
        <w:tc>
          <w:tcPr>
            <w:tcW w:w="6804" w:type="dxa"/>
            <w:gridSpan w:val="2"/>
          </w:tcPr>
          <w:p w:rsidR="007F25B6" w:rsidRPr="00897DAA" w:rsidRDefault="007F25B6" w:rsidP="00A55017">
            <w:pPr>
              <w:pStyle w:val="TableText"/>
              <w:spacing w:before="60" w:after="60" w:line="240" w:lineRule="auto"/>
              <w:rPr>
                <w:rFonts w:asciiTheme="minorHAnsi" w:hAnsiTheme="minorHAnsi"/>
                <w:sz w:val="20"/>
              </w:rPr>
            </w:pPr>
            <w:r w:rsidRPr="00897DAA">
              <w:rPr>
                <w:rFonts w:asciiTheme="minorHAnsi" w:hAnsiTheme="minorHAnsi" w:cs="Arial"/>
                <w:b/>
                <w:sz w:val="20"/>
              </w:rPr>
              <w:t xml:space="preserve">MEV: </w:t>
            </w:r>
            <w:r w:rsidRPr="00897DAA">
              <w:rPr>
                <w:rFonts w:asciiTheme="minorHAnsi" w:hAnsiTheme="minorHAnsi" w:cs="Arial"/>
                <w:sz w:val="20"/>
              </w:rPr>
              <w:t>Extract only: Kitchen 60 l/s; bathrooms 15 l/s</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lastRenderedPageBreak/>
              <w:t>DHW</w:t>
            </w:r>
          </w:p>
        </w:tc>
        <w:tc>
          <w:tcPr>
            <w:tcW w:w="6804" w:type="dxa"/>
            <w:gridSpan w:val="2"/>
          </w:tcPr>
          <w:p w:rsidR="007F25B6" w:rsidRPr="00897DAA" w:rsidRDefault="007F25B6" w:rsidP="00A55017">
            <w:pPr>
              <w:pStyle w:val="TableText"/>
              <w:spacing w:before="60" w:after="60" w:line="240" w:lineRule="auto"/>
              <w:rPr>
                <w:rFonts w:asciiTheme="minorHAnsi" w:hAnsiTheme="minorHAnsi" w:cs="Arial"/>
                <w:sz w:val="20"/>
              </w:rPr>
            </w:pPr>
            <w:r w:rsidRPr="00897DAA">
              <w:rPr>
                <w:rFonts w:asciiTheme="minorHAnsi" w:hAnsiTheme="minorHAnsi" w:cs="Arial"/>
                <w:sz w:val="20"/>
              </w:rPr>
              <w:t>103 L/day</w:t>
            </w:r>
          </w:p>
        </w:tc>
      </w:tr>
      <w:tr w:rsidR="007F25B6" w:rsidRPr="00D611C6" w:rsidTr="00A55017">
        <w:tc>
          <w:tcPr>
            <w:tcW w:w="209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Heating schedule</w:t>
            </w:r>
          </w:p>
        </w:tc>
        <w:tc>
          <w:tcPr>
            <w:tcW w:w="6804" w:type="dxa"/>
            <w:gridSpan w:val="2"/>
          </w:tcPr>
          <w:p w:rsidR="007F25B6" w:rsidRPr="00897DAA" w:rsidRDefault="007F25B6" w:rsidP="00A55017">
            <w:pPr>
              <w:spacing w:before="60" w:after="60" w:line="240" w:lineRule="auto"/>
              <w:rPr>
                <w:rFonts w:cs="Arial"/>
                <w:sz w:val="20"/>
                <w:szCs w:val="20"/>
              </w:rPr>
            </w:pPr>
            <w:r w:rsidRPr="00897DAA">
              <w:rPr>
                <w:rFonts w:cs="Arial"/>
                <w:sz w:val="20"/>
                <w:szCs w:val="20"/>
              </w:rPr>
              <w:t>Weekday: 07:00 – 9:00 &amp; 16:00 – 23:00</w:t>
            </w:r>
          </w:p>
          <w:p w:rsidR="007F25B6" w:rsidRDefault="007F25B6" w:rsidP="00A55017">
            <w:pPr>
              <w:pStyle w:val="TableText"/>
              <w:spacing w:before="60" w:after="60" w:line="240" w:lineRule="auto"/>
              <w:rPr>
                <w:rFonts w:asciiTheme="minorHAnsi" w:hAnsiTheme="minorHAnsi" w:cs="Arial"/>
                <w:sz w:val="20"/>
              </w:rPr>
            </w:pPr>
            <w:r w:rsidRPr="00897DAA">
              <w:rPr>
                <w:rFonts w:asciiTheme="minorHAnsi" w:hAnsiTheme="minorHAnsi" w:cs="Arial"/>
                <w:sz w:val="20"/>
              </w:rPr>
              <w:t>Weekend and holidays: 07:00 – 23:00</w:t>
            </w:r>
          </w:p>
          <w:p w:rsidR="004254FF" w:rsidRPr="00897DAA" w:rsidRDefault="004254FF" w:rsidP="00A55017">
            <w:pPr>
              <w:pStyle w:val="TableText"/>
              <w:spacing w:before="60" w:after="60" w:line="240" w:lineRule="auto"/>
              <w:rPr>
                <w:rFonts w:asciiTheme="minorHAnsi" w:hAnsiTheme="minorHAnsi"/>
                <w:sz w:val="20"/>
              </w:rPr>
            </w:pPr>
            <w:r>
              <w:rPr>
                <w:rFonts w:asciiTheme="minorHAnsi" w:hAnsiTheme="minorHAnsi" w:cs="Arial"/>
                <w:sz w:val="20"/>
              </w:rPr>
              <w:t>Annually: 15 October – 15 May</w:t>
            </w:r>
          </w:p>
        </w:tc>
      </w:tr>
      <w:tr w:rsidR="00106788" w:rsidRPr="00D611C6" w:rsidTr="00A55017">
        <w:tc>
          <w:tcPr>
            <w:tcW w:w="2093" w:type="dxa"/>
          </w:tcPr>
          <w:p w:rsidR="00106788" w:rsidRPr="00897DAA" w:rsidRDefault="00106788" w:rsidP="00A55017">
            <w:pPr>
              <w:spacing w:before="60" w:after="60" w:line="240" w:lineRule="auto"/>
              <w:rPr>
                <w:rFonts w:cs="Arial"/>
                <w:b/>
                <w:sz w:val="20"/>
                <w:szCs w:val="20"/>
              </w:rPr>
            </w:pPr>
            <w:r>
              <w:rPr>
                <w:rFonts w:cs="Arial"/>
                <w:b/>
                <w:sz w:val="20"/>
                <w:szCs w:val="20"/>
              </w:rPr>
              <w:t>Occupancy schedule</w:t>
            </w:r>
          </w:p>
        </w:tc>
        <w:tc>
          <w:tcPr>
            <w:tcW w:w="6804" w:type="dxa"/>
            <w:gridSpan w:val="2"/>
          </w:tcPr>
          <w:p w:rsidR="00106788" w:rsidRPr="00897DAA" w:rsidRDefault="00106788" w:rsidP="00106788">
            <w:pPr>
              <w:spacing w:before="60" w:after="60" w:line="240" w:lineRule="auto"/>
              <w:rPr>
                <w:rFonts w:cs="Arial"/>
                <w:sz w:val="20"/>
                <w:szCs w:val="20"/>
              </w:rPr>
            </w:pPr>
            <w:r>
              <w:rPr>
                <w:rFonts w:cs="Arial"/>
                <w:sz w:val="20"/>
                <w:szCs w:val="20"/>
              </w:rPr>
              <w:t>Bedroom: 22:30 – 06:30</w:t>
            </w:r>
          </w:p>
          <w:p w:rsidR="00106788" w:rsidRPr="00897DAA" w:rsidRDefault="00106788" w:rsidP="00106788">
            <w:pPr>
              <w:spacing w:before="60" w:after="60" w:line="240" w:lineRule="auto"/>
              <w:rPr>
                <w:rFonts w:cs="Arial"/>
                <w:sz w:val="20"/>
                <w:szCs w:val="20"/>
              </w:rPr>
            </w:pPr>
            <w:r>
              <w:rPr>
                <w:rFonts w:cs="Arial"/>
                <w:sz w:val="20"/>
                <w:szCs w:val="20"/>
              </w:rPr>
              <w:t>Living room: 06:30 – 9:30 &amp; 18:00 – 22:30</w:t>
            </w:r>
          </w:p>
        </w:tc>
      </w:tr>
      <w:tr w:rsidR="004254FF" w:rsidRPr="00D611C6" w:rsidTr="00A55017">
        <w:tc>
          <w:tcPr>
            <w:tcW w:w="2093" w:type="dxa"/>
          </w:tcPr>
          <w:p w:rsidR="004254FF" w:rsidRDefault="004254FF" w:rsidP="00A55017">
            <w:pPr>
              <w:spacing w:before="60" w:after="60" w:line="240" w:lineRule="auto"/>
              <w:rPr>
                <w:rFonts w:cs="Arial"/>
                <w:b/>
                <w:sz w:val="20"/>
                <w:szCs w:val="20"/>
              </w:rPr>
            </w:pPr>
            <w:r>
              <w:rPr>
                <w:rFonts w:cs="Arial"/>
                <w:b/>
                <w:sz w:val="20"/>
                <w:szCs w:val="20"/>
              </w:rPr>
              <w:t>Window opening schedule</w:t>
            </w:r>
          </w:p>
        </w:tc>
        <w:tc>
          <w:tcPr>
            <w:tcW w:w="6804" w:type="dxa"/>
            <w:gridSpan w:val="2"/>
          </w:tcPr>
          <w:p w:rsidR="004254FF" w:rsidRPr="00897DAA" w:rsidRDefault="004254FF" w:rsidP="004254FF">
            <w:pPr>
              <w:spacing w:before="60" w:after="60" w:line="240" w:lineRule="auto"/>
              <w:rPr>
                <w:rFonts w:cs="Arial"/>
                <w:sz w:val="20"/>
                <w:szCs w:val="20"/>
              </w:rPr>
            </w:pPr>
            <w:r>
              <w:rPr>
                <w:rFonts w:cs="Arial"/>
                <w:sz w:val="20"/>
                <w:szCs w:val="20"/>
              </w:rPr>
              <w:t>Bedroom: 18:00 – 06:30</w:t>
            </w:r>
          </w:p>
          <w:p w:rsidR="004254FF" w:rsidRDefault="004254FF" w:rsidP="004254FF">
            <w:pPr>
              <w:spacing w:before="60" w:after="60" w:line="240" w:lineRule="auto"/>
              <w:rPr>
                <w:rFonts w:cs="Arial"/>
                <w:sz w:val="20"/>
                <w:szCs w:val="20"/>
              </w:rPr>
            </w:pPr>
            <w:r>
              <w:rPr>
                <w:rFonts w:cs="Arial"/>
                <w:sz w:val="20"/>
                <w:szCs w:val="20"/>
              </w:rPr>
              <w:t>Living room: matches occupancy (i.e. windows closed when away)</w:t>
            </w:r>
          </w:p>
          <w:p w:rsidR="004254FF" w:rsidRDefault="004254FF" w:rsidP="004254FF">
            <w:pPr>
              <w:spacing w:before="60" w:after="60" w:line="240" w:lineRule="auto"/>
              <w:rPr>
                <w:rFonts w:cs="Arial"/>
                <w:sz w:val="20"/>
                <w:szCs w:val="20"/>
              </w:rPr>
            </w:pPr>
            <w:r>
              <w:rPr>
                <w:rFonts w:cs="Arial"/>
                <w:sz w:val="20"/>
              </w:rPr>
              <w:t>Annually: 1 June – 30 September (period assessed for overheating)</w:t>
            </w:r>
          </w:p>
        </w:tc>
      </w:tr>
    </w:tbl>
    <w:p w:rsidR="000C26AB" w:rsidRDefault="000C26AB" w:rsidP="007F25B6"/>
    <w:p w:rsidR="002766EC" w:rsidRDefault="002766EC" w:rsidP="007F25B6">
      <w:r>
        <w:t xml:space="preserve">Beyond the </w:t>
      </w:r>
      <w:r w:rsidRPr="001D63DF">
        <w:rPr>
          <w:i/>
        </w:rPr>
        <w:t>baseline</w:t>
      </w:r>
      <w:r>
        <w:t xml:space="preserve">, the </w:t>
      </w:r>
      <w:r w:rsidRPr="001D63DF">
        <w:rPr>
          <w:i/>
        </w:rPr>
        <w:t>Baseline+ version</w:t>
      </w:r>
      <w:r>
        <w:t xml:space="preserve"> of the models employed an air permeability of 4 </w:t>
      </w:r>
      <w:r w:rsidRPr="00A1344C">
        <w:rPr>
          <w:rFonts w:cs="Arial"/>
          <w:szCs w:val="20"/>
        </w:rPr>
        <w:t>m</w:t>
      </w:r>
      <w:r w:rsidRPr="00A1344C">
        <w:rPr>
          <w:rFonts w:cs="Arial"/>
          <w:szCs w:val="20"/>
          <w:vertAlign w:val="superscript"/>
        </w:rPr>
        <w:t>3</w:t>
      </w:r>
      <w:proofErr w:type="gramStart"/>
      <w:r w:rsidRPr="00A1344C">
        <w:rPr>
          <w:rFonts w:cs="Arial"/>
          <w:szCs w:val="20"/>
        </w:rPr>
        <w:t>/(</w:t>
      </w:r>
      <w:proofErr w:type="gramEnd"/>
      <w:r w:rsidRPr="00A1344C">
        <w:rPr>
          <w:rFonts w:cs="Arial"/>
          <w:szCs w:val="20"/>
        </w:rPr>
        <w:t>h.m</w:t>
      </w:r>
      <w:r w:rsidRPr="00A1344C">
        <w:rPr>
          <w:rFonts w:cs="Arial"/>
          <w:szCs w:val="20"/>
          <w:vertAlign w:val="superscript"/>
        </w:rPr>
        <w:t>2</w:t>
      </w:r>
      <w:r w:rsidRPr="00A1344C">
        <w:rPr>
          <w:rFonts w:cs="Arial"/>
          <w:szCs w:val="20"/>
        </w:rPr>
        <w:t>)@50pa</w:t>
      </w:r>
      <w:r>
        <w:rPr>
          <w:rFonts w:cs="Arial"/>
          <w:szCs w:val="20"/>
        </w:rPr>
        <w:t>;</w:t>
      </w:r>
      <w:r w:rsidRPr="00A1344C">
        <w:rPr>
          <w:sz w:val="24"/>
        </w:rPr>
        <w:t xml:space="preserve"> </w:t>
      </w:r>
      <w:r>
        <w:t xml:space="preserve">2 </w:t>
      </w:r>
      <w:proofErr w:type="spellStart"/>
      <w:r>
        <w:t>kW</w:t>
      </w:r>
      <w:r w:rsidRPr="001D63DF">
        <w:rPr>
          <w:vertAlign w:val="subscript"/>
        </w:rPr>
        <w:t>p</w:t>
      </w:r>
      <w:proofErr w:type="spellEnd"/>
      <w:r>
        <w:t xml:space="preserve"> photovoltaic (PV) system; a 4m</w:t>
      </w:r>
      <w:r w:rsidRPr="000D5FE8">
        <w:rPr>
          <w:vertAlign w:val="superscript"/>
        </w:rPr>
        <w:t>2</w:t>
      </w:r>
      <w:r>
        <w:t xml:space="preserve"> solar thermal system; and high efficiency lighting and appliances. No fabric changes, aside from improvement in air permeability were made at this point.</w:t>
      </w:r>
    </w:p>
    <w:p w:rsidR="007F25B6" w:rsidRPr="00897DAA" w:rsidRDefault="007F25B6" w:rsidP="007F25B6">
      <w:r w:rsidRPr="00897DAA">
        <w:t xml:space="preserve">To define the </w:t>
      </w:r>
      <w:r w:rsidRPr="001D63DF">
        <w:rPr>
          <w:i/>
        </w:rPr>
        <w:t>reference building</w:t>
      </w:r>
      <w:r w:rsidRPr="00897DAA">
        <w:t xml:space="preserve"> according to typical existing domestic stock in England (Reference Typ.), the most common age group for semi-detached dwellings was selected: 1945-1964</w:t>
      </w:r>
      <w:r>
        <w:t xml:space="preserve"> </w:t>
      </w:r>
      <w:r>
        <w:fldChar w:fldCharType="begin"/>
      </w:r>
      <w:r w:rsidR="00C530F7">
        <w:instrText xml:space="preserve"> ADDIN EN.CITE &lt;EndNote&gt;&lt;Cite&gt;&lt;Author&gt;DCLG&lt;/Author&gt;&lt;Year&gt;2015&lt;/Year&gt;&lt;RecNum&gt;250&lt;/RecNum&gt;&lt;DisplayText&gt;[28]&lt;/DisplayText&gt;&lt;record&gt;&lt;rec-number&gt;250&lt;/rec-number&gt;&lt;foreign-keys&gt;&lt;key app="EN" db-id="dtvfvp55j2tw0ned5ruxvv51zwdxaxr9wft0" timestamp="1492623284"&gt;250&lt;/key&gt;&lt;/foreign-keys&gt;&lt;ref-type name="Government Document"&gt;46&lt;/ref-type&gt;&lt;contributors&gt;&lt;authors&gt;&lt;author&gt;DCLG&lt;/author&gt;&lt;/authors&gt;&lt;secondary-authors&gt;&lt;author&gt;Department for Communities and Local Government&lt;/author&gt;&lt;/secondary-authors&gt;&lt;/contributors&gt;&lt;titles&gt;&lt;title&gt;English Housing Survey: Profile of English housing: Annual report on England’s housing stock, 2013&lt;/title&gt;&lt;/titles&gt;&lt;pages&gt;105&lt;/pages&gt;&lt;dates&gt;&lt;year&gt;2015&lt;/year&gt;&lt;/dates&gt;&lt;pub-location&gt;London&lt;/pub-location&gt;&lt;publisher&gt;Department for Communities and Local Government&lt;/publisher&gt;&lt;urls&gt;&lt;related-urls&gt;&lt;url&gt;https://www.gov.uk/government/uploads/system/uploads/attachment_data/file/445370/EHS_Profile_of_English_housing_2013.pdf&lt;/url&gt;&lt;/related-urls&gt;&lt;/urls&gt;&lt;custom1&gt;Department for Communities and Local Government&lt;/custom1&gt;&lt;access-date&gt;19 April&lt;/access-date&gt;&lt;/record&gt;&lt;/Cite&gt;&lt;/EndNote&gt;</w:instrText>
      </w:r>
      <w:r>
        <w:fldChar w:fldCharType="separate"/>
      </w:r>
      <w:r w:rsidR="00C530F7">
        <w:rPr>
          <w:noProof/>
        </w:rPr>
        <w:t>[28]</w:t>
      </w:r>
      <w:r>
        <w:fldChar w:fldCharType="end"/>
      </w:r>
      <w:r w:rsidRPr="00897DAA">
        <w:t>. Typical reference case construction details were obtained from the Tabula &amp; Episcope B</w:t>
      </w:r>
      <w:r>
        <w:t>uilding Typology Brochure</w:t>
      </w:r>
      <w:r w:rsidRPr="00897DAA">
        <w:t xml:space="preserve"> </w:t>
      </w:r>
      <w:r>
        <w:fldChar w:fldCharType="begin"/>
      </w:r>
      <w:r w:rsidR="00C530F7">
        <w:instrText xml:space="preserve"> ADDIN EN.CITE &lt;EndNote&gt;&lt;Cite&gt;&lt;Author&gt;BRE&lt;/Author&gt;&lt;Year&gt;2014&lt;/Year&gt;&lt;RecNum&gt;252&lt;/RecNum&gt;&lt;DisplayText&gt;[29]&lt;/DisplayText&gt;&lt;record&gt;&lt;rec-number&gt;252&lt;/rec-number&gt;&lt;foreign-keys&gt;&lt;key app="EN" db-id="dtvfvp55j2tw0ned5ruxvv51zwdxaxr9wft0" timestamp="1492623808"&gt;252&lt;/key&gt;&lt;/foreign-keys&gt;&lt;ref-type name="Report"&gt;27&lt;/ref-type&gt;&lt;contributors&gt;&lt;authors&gt;&lt;author&gt;BRE&lt;/author&gt;&lt;/authors&gt;&lt;tertiary-authors&gt;&lt;author&gt;Building Research Establishment&lt;/author&gt;&lt;/tertiary-authors&gt;&lt;/contributors&gt;&lt;titles&gt;&lt;title&gt;Building Typology Brochure England: September 2014 &lt;/title&gt;&lt;/titles&gt;&lt;pages&gt;40&lt;/pages&gt;&lt;dates&gt;&lt;year&gt;2014&lt;/year&gt;&lt;/dates&gt;&lt;pub-location&gt;Watford&lt;/pub-location&gt;&lt;publisher&gt;Building Research Establishment&lt;/publisher&gt;&lt;isbn&gt;296-024&lt;/isbn&gt;&lt;urls&gt;&lt;related-urls&gt;&lt;url&gt;http://episcope.eu/fileadmin/tabula/public/docs/brochure/GB_TABULA_TypologyBrochure_BRE.pdf&lt;/url&gt;&lt;/related-urls&gt;&lt;/urls&gt;&lt;/record&gt;&lt;/Cite&gt;&lt;/EndNote&gt;</w:instrText>
      </w:r>
      <w:r>
        <w:fldChar w:fldCharType="separate"/>
      </w:r>
      <w:r w:rsidR="00C530F7">
        <w:rPr>
          <w:noProof/>
        </w:rPr>
        <w:t>[29]</w:t>
      </w:r>
      <w:r>
        <w:fldChar w:fldCharType="end"/>
      </w:r>
      <w:r>
        <w:t xml:space="preserve"> </w:t>
      </w:r>
      <w:r w:rsidRPr="00897DAA">
        <w:t>but were updated based on the following facts</w:t>
      </w:r>
      <w:r>
        <w:t xml:space="preserve"> </w:t>
      </w:r>
      <w:r>
        <w:fldChar w:fldCharType="begin"/>
      </w:r>
      <w:r w:rsidR="00C530F7">
        <w:instrText xml:space="preserve"> ADDIN EN.CITE &lt;EndNote&gt;&lt;Cite&gt;&lt;Author&gt;DCLG&lt;/Author&gt;&lt;Year&gt;2015&lt;/Year&gt;&lt;RecNum&gt;250&lt;/RecNum&gt;&lt;DisplayText&gt;[28]&lt;/DisplayText&gt;&lt;record&gt;&lt;rec-number&gt;250&lt;/rec-number&gt;&lt;foreign-keys&gt;&lt;key app="EN" db-id="dtvfvp55j2tw0ned5ruxvv51zwdxaxr9wft0" timestamp="1492623284"&gt;250&lt;/key&gt;&lt;/foreign-keys&gt;&lt;ref-type name="Government Document"&gt;46&lt;/ref-type&gt;&lt;contributors&gt;&lt;authors&gt;&lt;author&gt;DCLG&lt;/author&gt;&lt;/authors&gt;&lt;secondary-authors&gt;&lt;author&gt;Department for Communities and Local Government&lt;/author&gt;&lt;/secondary-authors&gt;&lt;/contributors&gt;&lt;titles&gt;&lt;title&gt;English Housing Survey: Profile of English housing: Annual report on England’s housing stock, 2013&lt;/title&gt;&lt;/titles&gt;&lt;pages&gt;105&lt;/pages&gt;&lt;dates&gt;&lt;year&gt;2015&lt;/year&gt;&lt;/dates&gt;&lt;pub-location&gt;London&lt;/pub-location&gt;&lt;publisher&gt;Department for Communities and Local Government&lt;/publisher&gt;&lt;urls&gt;&lt;related-urls&gt;&lt;url&gt;https://www.gov.uk/government/uploads/system/uploads/attachment_data/file/445370/EHS_Profile_of_English_housing_2013.pdf&lt;/url&gt;&lt;/related-urls&gt;&lt;/urls&gt;&lt;custom1&gt;Department for Communities and Local Government&lt;/custom1&gt;&lt;access-date&gt;19 April&lt;/access-date&gt;&lt;/record&gt;&lt;/Cite&gt;&lt;/EndNote&gt;</w:instrText>
      </w:r>
      <w:r>
        <w:fldChar w:fldCharType="separate"/>
      </w:r>
      <w:r w:rsidR="00C530F7">
        <w:rPr>
          <w:noProof/>
        </w:rPr>
        <w:t>[28]</w:t>
      </w:r>
      <w:r>
        <w:fldChar w:fldCharType="end"/>
      </w:r>
      <w:r w:rsidRPr="00897DAA">
        <w:t xml:space="preserve">: </w:t>
      </w:r>
    </w:p>
    <w:p w:rsidR="007F25B6" w:rsidRPr="00897DAA" w:rsidRDefault="007F25B6" w:rsidP="007F25B6">
      <w:pPr>
        <w:pStyle w:val="ListParagraph"/>
        <w:numPr>
          <w:ilvl w:val="0"/>
          <w:numId w:val="9"/>
        </w:numPr>
      </w:pPr>
      <w:r w:rsidRPr="00897DAA">
        <w:t>68% of cavity wall dwellings were estimated to have cavity wall insulation by 2013,</w:t>
      </w:r>
    </w:p>
    <w:p w:rsidR="007F25B6" w:rsidRPr="00897DAA" w:rsidRDefault="007F25B6" w:rsidP="007F25B6">
      <w:pPr>
        <w:pStyle w:val="ListParagraph"/>
        <w:numPr>
          <w:ilvl w:val="0"/>
          <w:numId w:val="9"/>
        </w:numPr>
      </w:pPr>
      <w:r w:rsidRPr="00897DAA">
        <w:t>80% of all dwellings and 91% of housing association homes were estimated to have more than half of windows double-glazed by 2013,</w:t>
      </w:r>
    </w:p>
    <w:p w:rsidR="007F25B6" w:rsidRPr="00897DAA" w:rsidRDefault="007F25B6" w:rsidP="007F25B6">
      <w:pPr>
        <w:pStyle w:val="ListParagraph"/>
        <w:numPr>
          <w:ilvl w:val="0"/>
          <w:numId w:val="9"/>
        </w:numPr>
      </w:pPr>
      <w:r w:rsidRPr="00897DAA">
        <w:t>56% of dwellings had 150mm or more of loft insulation by 2013.</w:t>
      </w:r>
    </w:p>
    <w:p w:rsidR="007F25B6" w:rsidRPr="00897DAA" w:rsidRDefault="007F25B6" w:rsidP="007F25B6">
      <w:r w:rsidRPr="00897DAA">
        <w:t xml:space="preserve">For the </w:t>
      </w:r>
      <w:r w:rsidRPr="001D63DF">
        <w:rPr>
          <w:i/>
        </w:rPr>
        <w:t>UK Building Regulation reference case</w:t>
      </w:r>
      <w:r w:rsidRPr="00897DAA">
        <w:t>, the current building regulations were used to model thermal design parameters</w:t>
      </w:r>
      <w:r>
        <w:t xml:space="preserve"> </w:t>
      </w:r>
      <w:r>
        <w:fldChar w:fldCharType="begin"/>
      </w:r>
      <w:r w:rsidR="00C530F7">
        <w:instrText xml:space="preserve"> ADDIN EN.CITE &lt;EndNote&gt;&lt;Cite&gt;&lt;Author&gt;Government&lt;/Author&gt;&lt;Year&gt;2014&lt;/Year&gt;&lt;RecNum&gt;251&lt;/RecNum&gt;&lt;DisplayText&gt;[30]&lt;/DisplayText&gt;&lt;record&gt;&lt;rec-number&gt;251&lt;/rec-number&gt;&lt;foreign-keys&gt;&lt;key app="EN" db-id="dtvfvp55j2tw0ned5ruxvv51zwdxaxr9wft0" timestamp="1492623568"&gt;251&lt;/key&gt;&lt;/foreign-keys&gt;&lt;ref-type name="Standard"&gt;58&lt;/ref-type&gt;&lt;contributors&gt;&lt;authors&gt;&lt;author&gt;HM Government&lt;/author&gt;&lt;/authors&gt;&lt;/contributors&gt;&lt;titles&gt;&lt;title&gt;The building regulations 2010: Approved document L1A Conservation of fuel and power in new dwellings&lt;/title&gt;&lt;secondary-title&gt;Approved document L1A Conservation of fuel and power in new dwellings&lt;/secondary-title&gt;&lt;/titles&gt;&lt;pages&gt;48&lt;/pages&gt;&lt;dates&gt;&lt;year&gt;2014&lt;/year&gt;&lt;/dates&gt;&lt;pub-location&gt;London&lt;/pub-location&gt;&lt;publisher&gt;NBS&lt;/publisher&gt;&lt;isbn&gt;80583&lt;/isbn&gt;&lt;urls&gt;&lt;related-urls&gt;&lt;url&gt;http://webarchive.nationalarchives.gov.uk/20151113141044/http://www.planningportal.gov.uk/uploads/br/br_pdf_ad_l1a_2013.pdf&lt;/url&gt;&lt;/related-urls&gt;&lt;/urls&gt;&lt;/record&gt;&lt;/Cite&gt;&lt;/EndNote&gt;</w:instrText>
      </w:r>
      <w:r>
        <w:fldChar w:fldCharType="separate"/>
      </w:r>
      <w:r w:rsidR="00C530F7">
        <w:rPr>
          <w:noProof/>
        </w:rPr>
        <w:t>[30]</w:t>
      </w:r>
      <w:r>
        <w:fldChar w:fldCharType="end"/>
      </w:r>
      <w:r w:rsidRPr="00897DAA">
        <w:t xml:space="preserve">. </w:t>
      </w:r>
      <w:r w:rsidR="00953576">
        <w:t>Using data and guidelines from the above sources, t</w:t>
      </w:r>
      <w:r w:rsidRPr="00897DAA">
        <w:t xml:space="preserve">able </w:t>
      </w:r>
      <w:r w:rsidR="00FC67AD">
        <w:t>2</w:t>
      </w:r>
      <w:r w:rsidRPr="00897DAA">
        <w:t xml:space="preserve"> lists the design parameters used where </w:t>
      </w:r>
      <w:r w:rsidR="00953576">
        <w:t>they differ</w:t>
      </w:r>
      <w:r w:rsidR="00953576" w:rsidRPr="00897DAA">
        <w:t xml:space="preserve"> </w:t>
      </w:r>
      <w:r w:rsidRPr="00897DAA">
        <w:t>from the baseline model.</w:t>
      </w:r>
    </w:p>
    <w:p w:rsidR="007F25B6" w:rsidRDefault="007F25B6" w:rsidP="007F25B6">
      <w:r w:rsidRPr="00897DAA">
        <w:rPr>
          <w:b/>
        </w:rPr>
        <w:t xml:space="preserve">Table </w:t>
      </w:r>
      <w:r w:rsidR="00FC67AD">
        <w:rPr>
          <w:b/>
        </w:rPr>
        <w:t>2</w:t>
      </w:r>
      <w:r>
        <w:t xml:space="preserve"> </w:t>
      </w:r>
      <w:r w:rsidR="004060CF">
        <w:t>M</w:t>
      </w:r>
      <w:r w:rsidRPr="00897DAA">
        <w:t>odel design parameters</w:t>
      </w:r>
      <w:r w:rsidR="004060CF">
        <w:t xml:space="preserve"> </w:t>
      </w:r>
      <w:r w:rsidR="00CE54F3">
        <w:t xml:space="preserve">for </w:t>
      </w:r>
      <w:r w:rsidR="004060CF">
        <w:t>the reference case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3"/>
        <w:gridCol w:w="3013"/>
        <w:gridCol w:w="3013"/>
      </w:tblGrid>
      <w:tr w:rsidR="007F25B6" w:rsidRPr="00D611C6" w:rsidTr="00A55017">
        <w:tc>
          <w:tcPr>
            <w:tcW w:w="3013" w:type="dxa"/>
          </w:tcPr>
          <w:p w:rsidR="007F25B6" w:rsidRPr="001D63DF" w:rsidRDefault="007F25B6" w:rsidP="001D63DF">
            <w:pPr>
              <w:spacing w:before="60" w:after="60" w:line="240" w:lineRule="auto"/>
              <w:jc w:val="center"/>
              <w:rPr>
                <w:rFonts w:cs="Arial"/>
                <w:b/>
              </w:rPr>
            </w:pPr>
            <w:r w:rsidRPr="001D63DF">
              <w:rPr>
                <w:rFonts w:cs="Arial"/>
                <w:b/>
              </w:rPr>
              <w:t>Building element</w:t>
            </w:r>
          </w:p>
        </w:tc>
        <w:tc>
          <w:tcPr>
            <w:tcW w:w="3013" w:type="dxa"/>
          </w:tcPr>
          <w:p w:rsidR="007F25B6" w:rsidRPr="001D63DF" w:rsidRDefault="007F25B6" w:rsidP="001D63DF">
            <w:pPr>
              <w:spacing w:before="60" w:after="60" w:line="240" w:lineRule="auto"/>
              <w:jc w:val="center"/>
              <w:rPr>
                <w:rFonts w:cs="Arial"/>
                <w:b/>
              </w:rPr>
            </w:pPr>
            <w:r w:rsidRPr="001D63DF">
              <w:rPr>
                <w:rFonts w:cs="Arial"/>
                <w:b/>
              </w:rPr>
              <w:t>Reference typ</w:t>
            </w:r>
            <w:r w:rsidR="00112C67">
              <w:rPr>
                <w:rFonts w:cs="Arial"/>
                <w:b/>
              </w:rPr>
              <w:t>ical</w:t>
            </w:r>
          </w:p>
        </w:tc>
        <w:tc>
          <w:tcPr>
            <w:tcW w:w="3013" w:type="dxa"/>
          </w:tcPr>
          <w:p w:rsidR="007F25B6" w:rsidRPr="001D63DF" w:rsidRDefault="007F25B6" w:rsidP="001D63DF">
            <w:pPr>
              <w:spacing w:before="60" w:after="60" w:line="240" w:lineRule="auto"/>
              <w:jc w:val="center"/>
              <w:rPr>
                <w:rFonts w:cs="Arial"/>
                <w:b/>
              </w:rPr>
            </w:pPr>
            <w:r w:rsidRPr="001D63DF">
              <w:rPr>
                <w:rFonts w:cs="Arial"/>
                <w:b/>
              </w:rPr>
              <w:t xml:space="preserve">Reference </w:t>
            </w:r>
            <w:r w:rsidR="00112C67">
              <w:rPr>
                <w:rFonts w:cs="Arial"/>
                <w:b/>
              </w:rPr>
              <w:t>building regulation</w:t>
            </w:r>
          </w:p>
        </w:tc>
      </w:tr>
      <w:tr w:rsidR="007F25B6" w:rsidRPr="00D611C6" w:rsidTr="00A55017">
        <w:tc>
          <w:tcPr>
            <w:tcW w:w="301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External wall U-value</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0.6 W/(m</w:t>
            </w:r>
            <w:r w:rsidRPr="00897DAA">
              <w:rPr>
                <w:rFonts w:cs="Arial"/>
                <w:sz w:val="20"/>
                <w:szCs w:val="20"/>
                <w:vertAlign w:val="superscript"/>
              </w:rPr>
              <w:t>2</w:t>
            </w:r>
            <w:r w:rsidRPr="00897DAA">
              <w:rPr>
                <w:rFonts w:cs="Arial"/>
                <w:sz w:val="20"/>
                <w:szCs w:val="20"/>
              </w:rPr>
              <w:t>.K)</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0.26 W/(m</w:t>
            </w:r>
            <w:r w:rsidRPr="00897DAA">
              <w:rPr>
                <w:rFonts w:cs="Arial"/>
                <w:sz w:val="20"/>
                <w:szCs w:val="20"/>
                <w:vertAlign w:val="superscript"/>
              </w:rPr>
              <w:t>2</w:t>
            </w:r>
            <w:r w:rsidRPr="00897DAA">
              <w:rPr>
                <w:rFonts w:cs="Arial"/>
                <w:sz w:val="20"/>
                <w:szCs w:val="20"/>
              </w:rPr>
              <w:t>.K)</w:t>
            </w:r>
          </w:p>
        </w:tc>
      </w:tr>
      <w:tr w:rsidR="007F25B6" w:rsidRPr="00D611C6" w:rsidTr="00A55017">
        <w:tc>
          <w:tcPr>
            <w:tcW w:w="301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Roof U-value</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0.24 W/(m</w:t>
            </w:r>
            <w:r w:rsidRPr="00897DAA">
              <w:rPr>
                <w:rFonts w:cs="Arial"/>
                <w:sz w:val="20"/>
                <w:szCs w:val="20"/>
                <w:vertAlign w:val="superscript"/>
              </w:rPr>
              <w:t>2</w:t>
            </w:r>
            <w:r w:rsidRPr="00897DAA">
              <w:rPr>
                <w:rFonts w:cs="Arial"/>
                <w:sz w:val="20"/>
                <w:szCs w:val="20"/>
              </w:rPr>
              <w:t>.K)</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0.20 W/(m</w:t>
            </w:r>
            <w:r w:rsidRPr="00897DAA">
              <w:rPr>
                <w:rFonts w:cs="Arial"/>
                <w:sz w:val="20"/>
                <w:szCs w:val="20"/>
                <w:vertAlign w:val="superscript"/>
              </w:rPr>
              <w:t>2</w:t>
            </w:r>
            <w:r w:rsidRPr="00897DAA">
              <w:rPr>
                <w:rFonts w:cs="Arial"/>
                <w:sz w:val="20"/>
                <w:szCs w:val="20"/>
              </w:rPr>
              <w:t>.K)</w:t>
            </w:r>
          </w:p>
        </w:tc>
      </w:tr>
      <w:tr w:rsidR="007F25B6" w:rsidRPr="00D611C6" w:rsidTr="00A55017">
        <w:trPr>
          <w:trHeight w:val="371"/>
        </w:trPr>
        <w:tc>
          <w:tcPr>
            <w:tcW w:w="301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Ground floor U-value</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0.59 W/(m</w:t>
            </w:r>
            <w:r w:rsidRPr="00897DAA">
              <w:rPr>
                <w:rFonts w:cs="Arial"/>
                <w:sz w:val="20"/>
                <w:szCs w:val="20"/>
                <w:vertAlign w:val="superscript"/>
              </w:rPr>
              <w:t>2</w:t>
            </w:r>
            <w:r w:rsidRPr="00897DAA">
              <w:rPr>
                <w:rFonts w:cs="Arial"/>
                <w:sz w:val="20"/>
                <w:szCs w:val="20"/>
              </w:rPr>
              <w:t>.K)</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0.25 W/(m</w:t>
            </w:r>
            <w:r w:rsidRPr="00897DAA">
              <w:rPr>
                <w:rFonts w:cs="Arial"/>
                <w:sz w:val="20"/>
                <w:szCs w:val="20"/>
                <w:vertAlign w:val="superscript"/>
              </w:rPr>
              <w:t>2</w:t>
            </w:r>
            <w:r w:rsidRPr="00897DAA">
              <w:rPr>
                <w:rFonts w:cs="Arial"/>
                <w:sz w:val="20"/>
                <w:szCs w:val="20"/>
              </w:rPr>
              <w:t>.K)</w:t>
            </w:r>
          </w:p>
        </w:tc>
      </w:tr>
      <w:tr w:rsidR="007F25B6" w:rsidRPr="00D611C6" w:rsidTr="00A55017">
        <w:tc>
          <w:tcPr>
            <w:tcW w:w="301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Window U-value</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2.2 W/(m</w:t>
            </w:r>
            <w:r w:rsidRPr="00897DAA">
              <w:rPr>
                <w:rFonts w:cs="Arial"/>
                <w:sz w:val="20"/>
                <w:szCs w:val="20"/>
                <w:vertAlign w:val="superscript"/>
              </w:rPr>
              <w:t>2</w:t>
            </w:r>
            <w:r w:rsidRPr="00897DAA">
              <w:rPr>
                <w:rFonts w:cs="Arial"/>
                <w:sz w:val="20"/>
                <w:szCs w:val="20"/>
              </w:rPr>
              <w:t>.K)</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1.6 W/(m</w:t>
            </w:r>
            <w:r w:rsidRPr="00897DAA">
              <w:rPr>
                <w:rFonts w:cs="Arial"/>
                <w:sz w:val="20"/>
                <w:szCs w:val="20"/>
                <w:vertAlign w:val="superscript"/>
              </w:rPr>
              <w:t>2</w:t>
            </w:r>
            <w:r w:rsidRPr="00897DAA">
              <w:rPr>
                <w:rFonts w:cs="Arial"/>
                <w:sz w:val="20"/>
                <w:szCs w:val="20"/>
              </w:rPr>
              <w:t>.K)</w:t>
            </w:r>
          </w:p>
        </w:tc>
      </w:tr>
      <w:tr w:rsidR="007F25B6" w:rsidRPr="00D611C6" w:rsidTr="00A55017">
        <w:tc>
          <w:tcPr>
            <w:tcW w:w="301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Window g-value</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0.67</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0.4</w:t>
            </w:r>
          </w:p>
        </w:tc>
      </w:tr>
      <w:tr w:rsidR="007F25B6" w:rsidRPr="00D611C6" w:rsidTr="00A55017">
        <w:tc>
          <w:tcPr>
            <w:tcW w:w="301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Door U-value</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3.0 W/(m</w:t>
            </w:r>
            <w:r w:rsidRPr="00897DAA">
              <w:rPr>
                <w:rFonts w:cs="Arial"/>
                <w:sz w:val="20"/>
                <w:szCs w:val="20"/>
                <w:vertAlign w:val="superscript"/>
              </w:rPr>
              <w:t>2</w:t>
            </w:r>
            <w:r w:rsidRPr="00897DAA">
              <w:rPr>
                <w:rFonts w:cs="Arial"/>
                <w:sz w:val="20"/>
                <w:szCs w:val="20"/>
              </w:rPr>
              <w:t>.K)</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1.9 W/(m</w:t>
            </w:r>
            <w:r w:rsidRPr="00897DAA">
              <w:rPr>
                <w:rFonts w:cs="Arial"/>
                <w:sz w:val="20"/>
                <w:szCs w:val="20"/>
                <w:vertAlign w:val="superscript"/>
              </w:rPr>
              <w:t>2</w:t>
            </w:r>
            <w:r w:rsidRPr="00897DAA">
              <w:rPr>
                <w:rFonts w:cs="Arial"/>
                <w:sz w:val="20"/>
                <w:szCs w:val="20"/>
              </w:rPr>
              <w:t>.K)</w:t>
            </w:r>
          </w:p>
        </w:tc>
      </w:tr>
      <w:tr w:rsidR="007F25B6" w:rsidRPr="00D611C6" w:rsidTr="00A55017">
        <w:tc>
          <w:tcPr>
            <w:tcW w:w="3013" w:type="dxa"/>
          </w:tcPr>
          <w:p w:rsidR="007F25B6" w:rsidRPr="00897DAA" w:rsidRDefault="007F25B6" w:rsidP="00A55017">
            <w:pPr>
              <w:spacing w:before="60" w:after="60" w:line="240" w:lineRule="auto"/>
              <w:rPr>
                <w:rFonts w:cs="Arial"/>
                <w:b/>
                <w:sz w:val="20"/>
                <w:szCs w:val="20"/>
              </w:rPr>
            </w:pPr>
            <w:r w:rsidRPr="00897DAA">
              <w:rPr>
                <w:rFonts w:cs="Arial"/>
                <w:b/>
                <w:sz w:val="20"/>
                <w:szCs w:val="20"/>
              </w:rPr>
              <w:t>Design air permeability</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15-30 m</w:t>
            </w:r>
            <w:r w:rsidRPr="00897DAA">
              <w:rPr>
                <w:rFonts w:cs="Arial"/>
                <w:sz w:val="20"/>
                <w:szCs w:val="20"/>
                <w:vertAlign w:val="superscript"/>
              </w:rPr>
              <w:t>3</w:t>
            </w:r>
            <w:r w:rsidRPr="00897DAA">
              <w:rPr>
                <w:rFonts w:cs="Arial"/>
                <w:sz w:val="20"/>
                <w:szCs w:val="20"/>
              </w:rPr>
              <w:t>/(h.m</w:t>
            </w:r>
            <w:r w:rsidRPr="00897DAA">
              <w:rPr>
                <w:rFonts w:cs="Arial"/>
                <w:sz w:val="20"/>
                <w:szCs w:val="20"/>
                <w:vertAlign w:val="superscript"/>
              </w:rPr>
              <w:t>2</w:t>
            </w:r>
            <w:r w:rsidRPr="00897DAA">
              <w:rPr>
                <w:rFonts w:cs="Arial"/>
                <w:sz w:val="20"/>
                <w:szCs w:val="20"/>
              </w:rPr>
              <w:t>)@50pa</w:t>
            </w:r>
          </w:p>
        </w:tc>
        <w:tc>
          <w:tcPr>
            <w:tcW w:w="3013" w:type="dxa"/>
          </w:tcPr>
          <w:p w:rsidR="007F25B6" w:rsidRPr="00897DAA" w:rsidRDefault="007F25B6" w:rsidP="001D63DF">
            <w:pPr>
              <w:spacing w:before="60" w:after="60" w:line="240" w:lineRule="auto"/>
              <w:jc w:val="center"/>
              <w:rPr>
                <w:rFonts w:cs="Arial"/>
                <w:sz w:val="20"/>
                <w:szCs w:val="20"/>
              </w:rPr>
            </w:pPr>
            <w:r w:rsidRPr="00897DAA">
              <w:rPr>
                <w:rFonts w:cs="Arial"/>
                <w:sz w:val="20"/>
                <w:szCs w:val="20"/>
              </w:rPr>
              <w:t>8 m</w:t>
            </w:r>
            <w:r w:rsidRPr="00897DAA">
              <w:rPr>
                <w:rFonts w:cs="Arial"/>
                <w:sz w:val="20"/>
                <w:szCs w:val="20"/>
                <w:vertAlign w:val="superscript"/>
              </w:rPr>
              <w:t>3</w:t>
            </w:r>
            <w:r w:rsidRPr="00897DAA">
              <w:rPr>
                <w:rFonts w:cs="Arial"/>
                <w:sz w:val="20"/>
                <w:szCs w:val="20"/>
              </w:rPr>
              <w:t>/(h.m</w:t>
            </w:r>
            <w:r w:rsidRPr="00897DAA">
              <w:rPr>
                <w:rFonts w:cs="Arial"/>
                <w:sz w:val="20"/>
                <w:szCs w:val="20"/>
                <w:vertAlign w:val="superscript"/>
              </w:rPr>
              <w:t>2</w:t>
            </w:r>
            <w:r w:rsidRPr="00897DAA">
              <w:rPr>
                <w:rFonts w:cs="Arial"/>
                <w:sz w:val="20"/>
                <w:szCs w:val="20"/>
              </w:rPr>
              <w:t>)@50pa</w:t>
            </w:r>
          </w:p>
        </w:tc>
      </w:tr>
    </w:tbl>
    <w:p w:rsidR="002766EC" w:rsidRDefault="002766EC" w:rsidP="007F25B6"/>
    <w:p w:rsidR="00DA74D7" w:rsidRDefault="000C26AB">
      <w:pPr>
        <w:rPr>
          <w:b/>
        </w:rPr>
      </w:pPr>
      <w:r>
        <w:t xml:space="preserve">In addition to the energy targets, the </w:t>
      </w:r>
      <w:r w:rsidR="00FB0B9B">
        <w:t>study</w:t>
      </w:r>
      <w:r>
        <w:t xml:space="preserve"> </w:t>
      </w:r>
      <w:r w:rsidR="00FC2E3E">
        <w:t>aims to demonstrate</w:t>
      </w:r>
      <w:r w:rsidR="00186ACC">
        <w:t xml:space="preserve"> the application of</w:t>
      </w:r>
      <w:r>
        <w:t xml:space="preserve"> </w:t>
      </w:r>
      <w:r w:rsidR="001205E1">
        <w:t xml:space="preserve">innovative </w:t>
      </w:r>
      <w:r>
        <w:t xml:space="preserve">energy efficiency and renewable energy generation technologies </w:t>
      </w:r>
      <w:r w:rsidR="00FC2E3E">
        <w:t>for achieving</w:t>
      </w:r>
      <w:r>
        <w:t xml:space="preserve"> NZE </w:t>
      </w:r>
      <w:r w:rsidR="00561813">
        <w:t>targets</w:t>
      </w:r>
      <w:r>
        <w:t>.</w:t>
      </w:r>
      <w:r w:rsidR="000E3034">
        <w:t xml:space="preserve"> </w:t>
      </w:r>
      <w:r w:rsidR="00186ACC">
        <w:t xml:space="preserve">Table </w:t>
      </w:r>
      <w:r w:rsidR="00FC67AD">
        <w:t>3</w:t>
      </w:r>
      <w:r w:rsidR="00186ACC">
        <w:t xml:space="preserve"> summarises the </w:t>
      </w:r>
      <w:r w:rsidR="00BE196E">
        <w:t xml:space="preserve">technical </w:t>
      </w:r>
      <w:r w:rsidR="00186ACC">
        <w:t>details of the advanced</w:t>
      </w:r>
      <w:r>
        <w:t xml:space="preserve"> </w:t>
      </w:r>
      <w:r w:rsidR="00854B63">
        <w:t>energy</w:t>
      </w:r>
      <w:r>
        <w:t xml:space="preserve"> technologies </w:t>
      </w:r>
      <w:r w:rsidR="00CB527B">
        <w:t xml:space="preserve">that are introduced for the </w:t>
      </w:r>
      <w:r w:rsidR="00CB527B" w:rsidRPr="001763B4">
        <w:rPr>
          <w:i/>
        </w:rPr>
        <w:lastRenderedPageBreak/>
        <w:t>NZE</w:t>
      </w:r>
      <w:r w:rsidR="00CB527B">
        <w:t xml:space="preserve"> </w:t>
      </w:r>
      <w:proofErr w:type="spellStart"/>
      <w:r w:rsidR="00CB527B" w:rsidRPr="001763B4">
        <w:rPr>
          <w:i/>
        </w:rPr>
        <w:t>red+gen</w:t>
      </w:r>
      <w:proofErr w:type="spellEnd"/>
      <w:r w:rsidR="00CB527B" w:rsidRPr="001763B4">
        <w:rPr>
          <w:i/>
        </w:rPr>
        <w:t xml:space="preserve"> stage</w:t>
      </w:r>
      <w:r w:rsidR="00CB527B">
        <w:t xml:space="preserve"> and are relevant to the UK climate. These include extruded polystyrene insulation with low thermal conductivity (adv. ins.), building integrated PV (</w:t>
      </w:r>
      <w:proofErr w:type="spellStart"/>
      <w:r w:rsidR="00CB527B">
        <w:t>biPV</w:t>
      </w:r>
      <w:proofErr w:type="spellEnd"/>
      <w:r w:rsidR="00CB527B">
        <w:t>), a solar concentration module which provides thermal and electrical energy (for simplicity named CHP), and a combined solar and wind system (</w:t>
      </w:r>
      <w:proofErr w:type="spellStart"/>
      <w:r w:rsidR="00CB527B">
        <w:t>WindPV</w:t>
      </w:r>
      <w:proofErr w:type="spellEnd"/>
      <w:r w:rsidR="00CB527B">
        <w:t xml:space="preserve">). Table 4 shows the </w:t>
      </w:r>
      <w:r w:rsidR="001A5021">
        <w:t>modelling p</w:t>
      </w:r>
      <w:r w:rsidR="003837EB">
        <w:t>rocedures used for simulating the savings from these technologies.</w:t>
      </w:r>
    </w:p>
    <w:p w:rsidR="000C26AB" w:rsidRDefault="000C26AB" w:rsidP="000C26AB">
      <w:r w:rsidRPr="005810CD">
        <w:rPr>
          <w:b/>
        </w:rPr>
        <w:t xml:space="preserve">Table </w:t>
      </w:r>
      <w:r w:rsidR="00FC67AD">
        <w:rPr>
          <w:b/>
        </w:rPr>
        <w:t>3</w:t>
      </w:r>
      <w:r>
        <w:t xml:space="preserve"> </w:t>
      </w:r>
      <w:r w:rsidR="00DE3471">
        <w:t>Advanced energy t</w:t>
      </w:r>
      <w:r>
        <w:t>echnologies</w:t>
      </w:r>
      <w:r w:rsidR="00DE3471">
        <w:t xml:space="preserve"> selected for the research </w:t>
      </w:r>
      <w:r w:rsidR="008B0774">
        <w:t>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6945"/>
      </w:tblGrid>
      <w:tr w:rsidR="00624028" w:rsidRPr="00D611C6" w:rsidTr="00B152A7">
        <w:tc>
          <w:tcPr>
            <w:tcW w:w="2235" w:type="dxa"/>
          </w:tcPr>
          <w:p w:rsidR="00624028" w:rsidRPr="001D63DF" w:rsidRDefault="000F02B7" w:rsidP="00B152A7">
            <w:pPr>
              <w:spacing w:before="60" w:after="60" w:line="240" w:lineRule="auto"/>
              <w:rPr>
                <w:b/>
                <w:sz w:val="20"/>
              </w:rPr>
            </w:pPr>
            <w:r w:rsidRPr="001D63DF">
              <w:rPr>
                <w:b/>
                <w:sz w:val="20"/>
              </w:rPr>
              <w:t>Adv</w:t>
            </w:r>
            <w:r>
              <w:rPr>
                <w:b/>
                <w:sz w:val="20"/>
              </w:rPr>
              <w:t>anced</w:t>
            </w:r>
            <w:r w:rsidR="00624028" w:rsidRPr="001D63DF">
              <w:rPr>
                <w:b/>
                <w:sz w:val="20"/>
              </w:rPr>
              <w:t xml:space="preserve"> Ins</w:t>
            </w:r>
            <w:r>
              <w:rPr>
                <w:b/>
                <w:sz w:val="20"/>
              </w:rPr>
              <w:t xml:space="preserve">ulation </w:t>
            </w:r>
            <w:r w:rsidR="00624028" w:rsidRPr="001D63DF">
              <w:rPr>
                <w:b/>
                <w:sz w:val="20"/>
              </w:rPr>
              <w:t>(building level)</w:t>
            </w:r>
          </w:p>
        </w:tc>
        <w:tc>
          <w:tcPr>
            <w:tcW w:w="6945" w:type="dxa"/>
          </w:tcPr>
          <w:p w:rsidR="00624028" w:rsidRPr="008D4B0E" w:rsidRDefault="00624028" w:rsidP="00B152A7">
            <w:pPr>
              <w:spacing w:before="60" w:after="60" w:line="240" w:lineRule="auto"/>
              <w:rPr>
                <w:sz w:val="20"/>
              </w:rPr>
            </w:pPr>
            <w:r w:rsidRPr="008D4B0E">
              <w:rPr>
                <w:sz w:val="20"/>
              </w:rPr>
              <w:t>Lightweight composite cool thermal insulating extruded polystyrene for high thermal resistance and high solar reflectance</w:t>
            </w:r>
          </w:p>
        </w:tc>
      </w:tr>
      <w:tr w:rsidR="00624028" w:rsidRPr="00D611C6" w:rsidTr="00B152A7">
        <w:tc>
          <w:tcPr>
            <w:tcW w:w="2235" w:type="dxa"/>
          </w:tcPr>
          <w:p w:rsidR="00624028" w:rsidRPr="001D63DF" w:rsidRDefault="00624028" w:rsidP="00B152A7">
            <w:pPr>
              <w:spacing w:before="60" w:after="60" w:line="240" w:lineRule="auto"/>
              <w:rPr>
                <w:b/>
                <w:sz w:val="20"/>
              </w:rPr>
            </w:pPr>
            <w:proofErr w:type="spellStart"/>
            <w:r w:rsidRPr="001D63DF">
              <w:rPr>
                <w:b/>
                <w:sz w:val="20"/>
              </w:rPr>
              <w:t>biPV</w:t>
            </w:r>
            <w:proofErr w:type="spellEnd"/>
            <w:r w:rsidRPr="001D63DF">
              <w:rPr>
                <w:b/>
                <w:sz w:val="20"/>
              </w:rPr>
              <w:t xml:space="preserve"> (building/ community level)</w:t>
            </w:r>
          </w:p>
        </w:tc>
        <w:tc>
          <w:tcPr>
            <w:tcW w:w="6945" w:type="dxa"/>
          </w:tcPr>
          <w:p w:rsidR="00624028" w:rsidRPr="008D4B0E" w:rsidRDefault="00624028" w:rsidP="00B152A7">
            <w:pPr>
              <w:spacing w:before="60" w:after="60" w:line="240" w:lineRule="auto"/>
              <w:rPr>
                <w:sz w:val="20"/>
              </w:rPr>
            </w:pPr>
            <w:r w:rsidRPr="008D4B0E">
              <w:rPr>
                <w:sz w:val="20"/>
              </w:rPr>
              <w:t xml:space="preserve">Precast, dry-assembled and pre-stressed translucent </w:t>
            </w:r>
            <w:proofErr w:type="spellStart"/>
            <w:r w:rsidRPr="008D4B0E">
              <w:rPr>
                <w:sz w:val="20"/>
              </w:rPr>
              <w:t>biPV</w:t>
            </w:r>
            <w:proofErr w:type="spellEnd"/>
            <w:r w:rsidRPr="008D4B0E">
              <w:rPr>
                <w:sz w:val="20"/>
              </w:rPr>
              <w:t xml:space="preserve"> components made of Dye Sensitized Solar Cells integrated glass blocks - 1 </w:t>
            </w:r>
            <w:proofErr w:type="spellStart"/>
            <w:r w:rsidRPr="008D4B0E">
              <w:rPr>
                <w:sz w:val="20"/>
              </w:rPr>
              <w:t>kWp</w:t>
            </w:r>
            <w:proofErr w:type="spellEnd"/>
            <w:r w:rsidRPr="008D4B0E">
              <w:rPr>
                <w:sz w:val="20"/>
              </w:rPr>
              <w:t xml:space="preserve"> with 8% conversion efficiency requires almost 15-20 m</w:t>
            </w:r>
            <w:r w:rsidRPr="008D4B0E">
              <w:rPr>
                <w:sz w:val="20"/>
                <w:vertAlign w:val="superscript"/>
              </w:rPr>
              <w:t>2</w:t>
            </w:r>
          </w:p>
        </w:tc>
      </w:tr>
      <w:tr w:rsidR="00624028" w:rsidRPr="00D611C6" w:rsidTr="00B152A7">
        <w:tc>
          <w:tcPr>
            <w:tcW w:w="2235" w:type="dxa"/>
          </w:tcPr>
          <w:p w:rsidR="00624028" w:rsidRPr="001D63DF" w:rsidRDefault="00624028" w:rsidP="00B152A7">
            <w:pPr>
              <w:spacing w:before="60" w:after="60" w:line="240" w:lineRule="auto"/>
              <w:rPr>
                <w:b/>
                <w:sz w:val="20"/>
              </w:rPr>
            </w:pPr>
            <w:r w:rsidRPr="001D63DF">
              <w:rPr>
                <w:b/>
                <w:sz w:val="20"/>
              </w:rPr>
              <w:t>Solar PV and thermal CHP (community level)</w:t>
            </w:r>
          </w:p>
        </w:tc>
        <w:tc>
          <w:tcPr>
            <w:tcW w:w="6945" w:type="dxa"/>
          </w:tcPr>
          <w:p w:rsidR="00624028" w:rsidRPr="008D4B0E" w:rsidRDefault="00624028" w:rsidP="00B152A7">
            <w:pPr>
              <w:spacing w:before="60" w:after="60" w:line="240" w:lineRule="auto"/>
              <w:rPr>
                <w:sz w:val="20"/>
              </w:rPr>
            </w:pPr>
            <w:r w:rsidRPr="008D4B0E">
              <w:rPr>
                <w:sz w:val="20"/>
              </w:rPr>
              <w:t>Optics technology (lenses or curved mirrors) is used to focus the sun’s radiation on a small area occupied by one or more high efficiency photovoltaic cells (up to 44% of conversion rate) to generate electricity. Capturing the waste heat increases the overall efficiency of the system and justifies the efforts to develop a CPV/T hybrid technology. (Requires sun-tracking)</w:t>
            </w:r>
          </w:p>
        </w:tc>
      </w:tr>
      <w:tr w:rsidR="00624028" w:rsidRPr="00D611C6" w:rsidTr="00B152A7">
        <w:tc>
          <w:tcPr>
            <w:tcW w:w="2235" w:type="dxa"/>
          </w:tcPr>
          <w:p w:rsidR="00624028" w:rsidRPr="001D63DF" w:rsidRDefault="00624028" w:rsidP="00B152A7">
            <w:pPr>
              <w:spacing w:before="60" w:after="60" w:line="240" w:lineRule="auto"/>
              <w:rPr>
                <w:b/>
                <w:sz w:val="20"/>
              </w:rPr>
            </w:pPr>
            <w:proofErr w:type="spellStart"/>
            <w:r w:rsidRPr="001D63DF">
              <w:rPr>
                <w:b/>
                <w:sz w:val="20"/>
              </w:rPr>
              <w:t>WindPV</w:t>
            </w:r>
            <w:proofErr w:type="spellEnd"/>
            <w:r w:rsidRPr="001D63DF">
              <w:rPr>
                <w:b/>
                <w:sz w:val="20"/>
              </w:rPr>
              <w:t xml:space="preserve"> (building/ community level)</w:t>
            </w:r>
          </w:p>
        </w:tc>
        <w:tc>
          <w:tcPr>
            <w:tcW w:w="6945" w:type="dxa"/>
          </w:tcPr>
          <w:p w:rsidR="00624028" w:rsidRPr="008D4B0E" w:rsidRDefault="00624028" w:rsidP="00B152A7">
            <w:pPr>
              <w:spacing w:before="60" w:after="60" w:line="240" w:lineRule="auto"/>
              <w:rPr>
                <w:sz w:val="20"/>
              </w:rPr>
            </w:pPr>
            <w:r w:rsidRPr="008D4B0E">
              <w:rPr>
                <w:sz w:val="20"/>
              </w:rPr>
              <w:t>Building-based modular wind turbine system that efficiently captures wind energy by exploiting the pressure differences around the building and the solar radiation to generate electricity</w:t>
            </w:r>
          </w:p>
        </w:tc>
      </w:tr>
    </w:tbl>
    <w:p w:rsidR="000C26AB" w:rsidRDefault="000C26AB" w:rsidP="007F25B6"/>
    <w:p w:rsidR="007F25B6" w:rsidRDefault="007F25B6" w:rsidP="007F25B6">
      <w:r w:rsidRPr="00897DAA">
        <w:rPr>
          <w:b/>
        </w:rPr>
        <w:t>Table 4</w:t>
      </w:r>
      <w:r>
        <w:t xml:space="preserve"> Modelling </w:t>
      </w:r>
      <w:r w:rsidR="00171BD3">
        <w:t xml:space="preserve">procedures for simulation </w:t>
      </w:r>
      <w:r>
        <w:t xml:space="preserve">of </w:t>
      </w:r>
      <w:r w:rsidR="00171BD3">
        <w:t xml:space="preserve">the </w:t>
      </w:r>
      <w:r>
        <w:t>select</w:t>
      </w:r>
      <w:r w:rsidR="00347FB1">
        <w:t>ed</w:t>
      </w:r>
      <w:r>
        <w:t xml:space="preserve"> </w:t>
      </w:r>
      <w:r w:rsidR="00CE54F3">
        <w:t xml:space="preserve">advanced energy </w:t>
      </w:r>
      <w:r>
        <w:t>technologies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6945"/>
      </w:tblGrid>
      <w:tr w:rsidR="00CA42CA" w:rsidRPr="00D611C6" w:rsidTr="00EF289E">
        <w:tc>
          <w:tcPr>
            <w:tcW w:w="2235" w:type="dxa"/>
          </w:tcPr>
          <w:p w:rsidR="00CA42CA" w:rsidRPr="001D63DF" w:rsidRDefault="00CA42CA" w:rsidP="00A55017">
            <w:pPr>
              <w:spacing w:before="60" w:after="60" w:line="240" w:lineRule="auto"/>
              <w:rPr>
                <w:b/>
                <w:sz w:val="20"/>
                <w:szCs w:val="20"/>
              </w:rPr>
            </w:pPr>
            <w:r w:rsidRPr="001D63DF">
              <w:rPr>
                <w:b/>
                <w:sz w:val="20"/>
              </w:rPr>
              <w:t>Advanced Insulation (building level)</w:t>
            </w:r>
          </w:p>
        </w:tc>
        <w:tc>
          <w:tcPr>
            <w:tcW w:w="6945" w:type="dxa"/>
          </w:tcPr>
          <w:p w:rsidR="00CA42CA" w:rsidRPr="00897DAA" w:rsidRDefault="00CA42CA" w:rsidP="005C13DE">
            <w:pPr>
              <w:spacing w:before="60" w:after="60" w:line="240" w:lineRule="auto"/>
              <w:rPr>
                <w:sz w:val="20"/>
                <w:szCs w:val="20"/>
              </w:rPr>
            </w:pPr>
            <w:r w:rsidRPr="00897DAA">
              <w:rPr>
                <w:sz w:val="20"/>
                <w:szCs w:val="20"/>
              </w:rPr>
              <w:t xml:space="preserve">Modelled in IES VE: additional </w:t>
            </w:r>
            <w:r w:rsidR="001B39A4">
              <w:rPr>
                <w:sz w:val="20"/>
                <w:szCs w:val="20"/>
              </w:rPr>
              <w:t>20</w:t>
            </w:r>
            <w:r w:rsidR="001B39A4" w:rsidRPr="00897DAA">
              <w:rPr>
                <w:sz w:val="20"/>
                <w:szCs w:val="20"/>
              </w:rPr>
              <w:t xml:space="preserve">mm </w:t>
            </w:r>
            <w:r w:rsidRPr="00897DAA">
              <w:rPr>
                <w:sz w:val="20"/>
                <w:szCs w:val="20"/>
              </w:rPr>
              <w:t>of insulation in external walls resulting in 0.</w:t>
            </w:r>
            <w:r w:rsidR="001B39A4" w:rsidRPr="00897DAA">
              <w:rPr>
                <w:sz w:val="20"/>
                <w:szCs w:val="20"/>
              </w:rPr>
              <w:t>1</w:t>
            </w:r>
            <w:r w:rsidR="001B39A4">
              <w:rPr>
                <w:sz w:val="20"/>
                <w:szCs w:val="20"/>
              </w:rPr>
              <w:t>5</w:t>
            </w:r>
            <w:r w:rsidR="001B39A4" w:rsidRPr="00897DAA">
              <w:rPr>
                <w:sz w:val="20"/>
                <w:szCs w:val="20"/>
              </w:rPr>
              <w:t xml:space="preserve"> </w:t>
            </w:r>
            <w:r w:rsidRPr="00897DAA">
              <w:rPr>
                <w:rFonts w:cs="Arial"/>
                <w:sz w:val="20"/>
                <w:szCs w:val="20"/>
              </w:rPr>
              <w:t>W/(m</w:t>
            </w:r>
            <w:r w:rsidRPr="00897DAA">
              <w:rPr>
                <w:rFonts w:cs="Arial"/>
                <w:sz w:val="20"/>
                <w:szCs w:val="20"/>
                <w:vertAlign w:val="superscript"/>
              </w:rPr>
              <w:t>2</w:t>
            </w:r>
            <w:r w:rsidRPr="00897DAA">
              <w:rPr>
                <w:rFonts w:cs="Arial"/>
                <w:sz w:val="20"/>
                <w:szCs w:val="20"/>
              </w:rPr>
              <w:t>.K)</w:t>
            </w:r>
            <w:r w:rsidRPr="00897DAA">
              <w:rPr>
                <w:sz w:val="20"/>
                <w:szCs w:val="20"/>
              </w:rPr>
              <w:t xml:space="preserve">; Additional </w:t>
            </w:r>
            <w:r w:rsidR="001B39A4">
              <w:rPr>
                <w:sz w:val="20"/>
                <w:szCs w:val="20"/>
              </w:rPr>
              <w:t>45</w:t>
            </w:r>
            <w:r w:rsidRPr="00897DAA">
              <w:rPr>
                <w:sz w:val="20"/>
                <w:szCs w:val="20"/>
              </w:rPr>
              <w:t>mm of insulation in roof resulting in 0.1</w:t>
            </w:r>
            <w:r w:rsidR="001B39A4">
              <w:rPr>
                <w:sz w:val="20"/>
                <w:szCs w:val="20"/>
              </w:rPr>
              <w:t>2</w:t>
            </w:r>
            <w:r w:rsidRPr="00897DAA">
              <w:rPr>
                <w:sz w:val="20"/>
                <w:szCs w:val="20"/>
              </w:rPr>
              <w:t xml:space="preserve"> </w:t>
            </w:r>
            <w:r w:rsidRPr="00897DAA">
              <w:rPr>
                <w:rFonts w:cs="Arial"/>
                <w:sz w:val="20"/>
                <w:szCs w:val="20"/>
              </w:rPr>
              <w:t>W/(m</w:t>
            </w:r>
            <w:r w:rsidRPr="00897DAA">
              <w:rPr>
                <w:rFonts w:cs="Arial"/>
                <w:sz w:val="20"/>
                <w:szCs w:val="20"/>
                <w:vertAlign w:val="superscript"/>
              </w:rPr>
              <w:t>2</w:t>
            </w:r>
            <w:r w:rsidRPr="00897DAA">
              <w:rPr>
                <w:rFonts w:cs="Arial"/>
                <w:sz w:val="20"/>
                <w:szCs w:val="20"/>
              </w:rPr>
              <w:t>.K)</w:t>
            </w:r>
          </w:p>
        </w:tc>
      </w:tr>
      <w:tr w:rsidR="00CA42CA" w:rsidRPr="00D611C6" w:rsidTr="00EF289E">
        <w:tc>
          <w:tcPr>
            <w:tcW w:w="2235" w:type="dxa"/>
          </w:tcPr>
          <w:p w:rsidR="00CA42CA" w:rsidRPr="001D63DF" w:rsidRDefault="00CA42CA" w:rsidP="00A55017">
            <w:pPr>
              <w:spacing w:before="60" w:after="60" w:line="240" w:lineRule="auto"/>
              <w:rPr>
                <w:b/>
                <w:sz w:val="20"/>
                <w:szCs w:val="20"/>
              </w:rPr>
            </w:pPr>
            <w:proofErr w:type="spellStart"/>
            <w:r w:rsidRPr="001D63DF">
              <w:rPr>
                <w:b/>
                <w:sz w:val="20"/>
                <w:szCs w:val="20"/>
              </w:rPr>
              <w:t>biPV</w:t>
            </w:r>
            <w:proofErr w:type="spellEnd"/>
            <w:r w:rsidRPr="001D63DF">
              <w:rPr>
                <w:b/>
                <w:sz w:val="20"/>
                <w:szCs w:val="20"/>
              </w:rPr>
              <w:t xml:space="preserve"> (building level)</w:t>
            </w:r>
          </w:p>
        </w:tc>
        <w:tc>
          <w:tcPr>
            <w:tcW w:w="6945" w:type="dxa"/>
          </w:tcPr>
          <w:p w:rsidR="00CA42CA" w:rsidRPr="00897DAA" w:rsidRDefault="00CA42CA" w:rsidP="00A55017">
            <w:pPr>
              <w:spacing w:before="60" w:after="60" w:line="240" w:lineRule="auto"/>
              <w:rPr>
                <w:sz w:val="20"/>
                <w:szCs w:val="20"/>
              </w:rPr>
            </w:pPr>
            <w:r w:rsidRPr="00897DAA">
              <w:rPr>
                <w:sz w:val="20"/>
                <w:szCs w:val="20"/>
              </w:rPr>
              <w:t>Modelled in IES VE: installed in south roof face; low-e triple glazing with dye-sensitized solar cells integrated</w:t>
            </w:r>
          </w:p>
        </w:tc>
      </w:tr>
      <w:tr w:rsidR="00CA42CA" w:rsidRPr="00D611C6" w:rsidTr="00EF289E">
        <w:tc>
          <w:tcPr>
            <w:tcW w:w="2235" w:type="dxa"/>
          </w:tcPr>
          <w:p w:rsidR="00CA42CA" w:rsidRPr="001D63DF" w:rsidRDefault="00CA42CA" w:rsidP="00A55017">
            <w:pPr>
              <w:spacing w:before="60" w:after="60" w:line="240" w:lineRule="auto"/>
              <w:rPr>
                <w:b/>
                <w:sz w:val="20"/>
                <w:szCs w:val="20"/>
              </w:rPr>
            </w:pPr>
            <w:r w:rsidRPr="001D63DF">
              <w:rPr>
                <w:b/>
                <w:sz w:val="20"/>
                <w:szCs w:val="20"/>
              </w:rPr>
              <w:t>CHP (community level)</w:t>
            </w:r>
          </w:p>
        </w:tc>
        <w:tc>
          <w:tcPr>
            <w:tcW w:w="6945" w:type="dxa"/>
          </w:tcPr>
          <w:p w:rsidR="00CA42CA" w:rsidRPr="00897DAA" w:rsidRDefault="00CA42CA" w:rsidP="00A55017">
            <w:pPr>
              <w:spacing w:before="60" w:after="60" w:line="240" w:lineRule="auto"/>
              <w:rPr>
                <w:sz w:val="20"/>
                <w:szCs w:val="20"/>
              </w:rPr>
            </w:pPr>
            <w:r w:rsidRPr="00897DAA">
              <w:rPr>
                <w:sz w:val="20"/>
                <w:szCs w:val="20"/>
              </w:rPr>
              <w:t>Modelled in tech. provider</w:t>
            </w:r>
            <w:r w:rsidR="00C15623">
              <w:rPr>
                <w:sz w:val="20"/>
                <w:szCs w:val="20"/>
              </w:rPr>
              <w:t>’</w:t>
            </w:r>
            <w:r w:rsidRPr="00897DAA">
              <w:rPr>
                <w:sz w:val="20"/>
                <w:szCs w:val="20"/>
              </w:rPr>
              <w:t>s software: solar and thermal power are calculated from solar azimuth, solar elevation (altitude), global radiation, and diffuse radiation</w:t>
            </w:r>
          </w:p>
        </w:tc>
      </w:tr>
      <w:tr w:rsidR="00CA42CA" w:rsidRPr="00D611C6" w:rsidTr="00EF289E">
        <w:tc>
          <w:tcPr>
            <w:tcW w:w="2235" w:type="dxa"/>
          </w:tcPr>
          <w:p w:rsidR="00CA42CA" w:rsidRPr="001D63DF" w:rsidRDefault="00CA42CA" w:rsidP="00A55017">
            <w:pPr>
              <w:spacing w:before="60" w:after="60" w:line="240" w:lineRule="auto"/>
              <w:rPr>
                <w:b/>
                <w:sz w:val="20"/>
                <w:szCs w:val="20"/>
              </w:rPr>
            </w:pPr>
            <w:proofErr w:type="spellStart"/>
            <w:r w:rsidRPr="001D63DF">
              <w:rPr>
                <w:b/>
                <w:sz w:val="20"/>
                <w:szCs w:val="20"/>
              </w:rPr>
              <w:t>WindPV</w:t>
            </w:r>
            <w:proofErr w:type="spellEnd"/>
            <w:r w:rsidRPr="001D63DF">
              <w:rPr>
                <w:b/>
                <w:sz w:val="20"/>
                <w:szCs w:val="20"/>
              </w:rPr>
              <w:t xml:space="preserve"> (community level)</w:t>
            </w:r>
          </w:p>
        </w:tc>
        <w:tc>
          <w:tcPr>
            <w:tcW w:w="6945" w:type="dxa"/>
          </w:tcPr>
          <w:p w:rsidR="00CA42CA" w:rsidRPr="00897DAA" w:rsidRDefault="00CA42CA" w:rsidP="00A55017">
            <w:pPr>
              <w:spacing w:before="60" w:after="60" w:line="240" w:lineRule="auto"/>
              <w:rPr>
                <w:sz w:val="20"/>
                <w:szCs w:val="20"/>
              </w:rPr>
            </w:pPr>
            <w:r w:rsidRPr="00897DAA">
              <w:rPr>
                <w:sz w:val="20"/>
                <w:szCs w:val="20"/>
              </w:rPr>
              <w:t>Modelled in tech. provider</w:t>
            </w:r>
            <w:r w:rsidR="00C15623">
              <w:rPr>
                <w:sz w:val="20"/>
                <w:szCs w:val="20"/>
              </w:rPr>
              <w:t>’</w:t>
            </w:r>
            <w:r w:rsidRPr="00897DAA">
              <w:rPr>
                <w:sz w:val="20"/>
                <w:szCs w:val="20"/>
              </w:rPr>
              <w:t>s software: wind and solar power are calculated from wind direction, wind speed, global radiation and solar altitude</w:t>
            </w:r>
          </w:p>
        </w:tc>
      </w:tr>
    </w:tbl>
    <w:p w:rsidR="00E44CAE" w:rsidRDefault="00E44CAE" w:rsidP="00E44CAE">
      <w:pPr>
        <w:rPr>
          <w:b/>
        </w:rPr>
      </w:pPr>
    </w:p>
    <w:p w:rsidR="00E44CAE" w:rsidRPr="00E44CAE" w:rsidRDefault="00612CCE" w:rsidP="00E44CAE">
      <w:r>
        <w:t xml:space="preserve">As a result of applying the technologies, </w:t>
      </w:r>
      <w:r w:rsidR="00E44CAE">
        <w:t xml:space="preserve">the changes in the </w:t>
      </w:r>
      <w:r>
        <w:t xml:space="preserve">thermal </w:t>
      </w:r>
      <w:r w:rsidR="00E44CAE">
        <w:t xml:space="preserve">characteristics </w:t>
      </w:r>
      <w:r w:rsidR="00C6494A">
        <w:t xml:space="preserve">of </w:t>
      </w:r>
      <w:r w:rsidR="00E44CAE">
        <w:t>the NZE</w:t>
      </w:r>
      <w:r>
        <w:t xml:space="preserve"> (</w:t>
      </w:r>
      <w:proofErr w:type="spellStart"/>
      <w:r w:rsidR="00C6494A">
        <w:t>NZE_red+gen</w:t>
      </w:r>
      <w:proofErr w:type="spellEnd"/>
      <w:r>
        <w:t>)</w:t>
      </w:r>
      <w:r w:rsidR="007A2572">
        <w:t xml:space="preserve"> model</w:t>
      </w:r>
      <w:r>
        <w:t xml:space="preserve"> are summarised in Table </w:t>
      </w:r>
      <w:r w:rsidR="00FC67AD">
        <w:t>5</w:t>
      </w:r>
      <w:r>
        <w:t>.</w:t>
      </w:r>
      <w:r w:rsidR="00C15623">
        <w:t xml:space="preserve"> The change from cavity wall insulation to external insulation </w:t>
      </w:r>
      <w:r w:rsidR="001B39A4">
        <w:t>resulted in an increase of 20mm of insulation material.</w:t>
      </w:r>
    </w:p>
    <w:p w:rsidR="00E44CAE" w:rsidRDefault="00E44CAE" w:rsidP="00E44CAE">
      <w:r>
        <w:rPr>
          <w:b/>
        </w:rPr>
        <w:t xml:space="preserve">Table </w:t>
      </w:r>
      <w:r w:rsidR="00FC67AD">
        <w:rPr>
          <w:b/>
        </w:rPr>
        <w:t>5</w:t>
      </w:r>
      <w:r>
        <w:rPr>
          <w:b/>
        </w:rPr>
        <w:t xml:space="preserve"> </w:t>
      </w:r>
      <w:r>
        <w:t>NZE model characteristics</w:t>
      </w:r>
      <w:r w:rsidR="00C6494A">
        <w:t xml:space="preserve"> (</w:t>
      </w:r>
      <w:proofErr w:type="spellStart"/>
      <w:r w:rsidR="00C6494A">
        <w:t>NZE_red+gen</w:t>
      </w:r>
      <w:proofErr w:type="spellEnd"/>
      <w:r w:rsidR="00C649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4111"/>
        <w:gridCol w:w="2693"/>
      </w:tblGrid>
      <w:tr w:rsidR="00E44CAE" w:rsidRPr="00D611C6" w:rsidTr="00F950E5">
        <w:tc>
          <w:tcPr>
            <w:tcW w:w="2093" w:type="dxa"/>
          </w:tcPr>
          <w:p w:rsidR="00E44CAE" w:rsidRPr="00897DAA" w:rsidRDefault="00E44CAE" w:rsidP="00F950E5">
            <w:pPr>
              <w:spacing w:before="60" w:after="60" w:line="240" w:lineRule="auto"/>
              <w:rPr>
                <w:rFonts w:cs="Arial"/>
                <w:b/>
                <w:sz w:val="20"/>
                <w:szCs w:val="20"/>
              </w:rPr>
            </w:pPr>
            <w:r w:rsidRPr="00897DAA">
              <w:rPr>
                <w:rFonts w:cs="Arial"/>
                <w:b/>
                <w:sz w:val="20"/>
                <w:szCs w:val="20"/>
              </w:rPr>
              <w:t>Building element</w:t>
            </w:r>
          </w:p>
        </w:tc>
        <w:tc>
          <w:tcPr>
            <w:tcW w:w="4111" w:type="dxa"/>
          </w:tcPr>
          <w:p w:rsidR="00E44CAE" w:rsidRPr="00897DAA" w:rsidRDefault="00E44CAE" w:rsidP="00F950E5">
            <w:pPr>
              <w:spacing w:before="60" w:after="60" w:line="240" w:lineRule="auto"/>
              <w:rPr>
                <w:rFonts w:cs="Arial"/>
                <w:b/>
                <w:sz w:val="20"/>
                <w:szCs w:val="20"/>
              </w:rPr>
            </w:pPr>
            <w:r w:rsidRPr="00897DAA">
              <w:rPr>
                <w:rFonts w:cs="Arial"/>
                <w:b/>
                <w:sz w:val="20"/>
                <w:szCs w:val="20"/>
              </w:rPr>
              <w:t>Type</w:t>
            </w:r>
          </w:p>
        </w:tc>
        <w:tc>
          <w:tcPr>
            <w:tcW w:w="2693" w:type="dxa"/>
          </w:tcPr>
          <w:p w:rsidR="00E44CAE" w:rsidRPr="00897DAA" w:rsidRDefault="00E44CAE" w:rsidP="00F950E5">
            <w:pPr>
              <w:spacing w:before="60" w:after="60" w:line="240" w:lineRule="auto"/>
              <w:rPr>
                <w:rFonts w:cs="Arial"/>
                <w:b/>
                <w:sz w:val="20"/>
                <w:szCs w:val="20"/>
              </w:rPr>
            </w:pPr>
            <w:r w:rsidRPr="00897DAA">
              <w:rPr>
                <w:rFonts w:cs="Arial"/>
                <w:b/>
                <w:sz w:val="20"/>
                <w:szCs w:val="20"/>
              </w:rPr>
              <w:t>Final design parameter</w:t>
            </w:r>
          </w:p>
        </w:tc>
      </w:tr>
      <w:tr w:rsidR="00E44CAE" w:rsidRPr="00D611C6" w:rsidTr="00F950E5">
        <w:tc>
          <w:tcPr>
            <w:tcW w:w="2093" w:type="dxa"/>
          </w:tcPr>
          <w:p w:rsidR="00E44CAE" w:rsidRPr="00897DAA" w:rsidRDefault="00E44CAE" w:rsidP="00F950E5">
            <w:pPr>
              <w:spacing w:before="60" w:after="60" w:line="240" w:lineRule="auto"/>
              <w:rPr>
                <w:rFonts w:cs="Arial"/>
                <w:b/>
                <w:sz w:val="20"/>
                <w:szCs w:val="20"/>
              </w:rPr>
            </w:pPr>
            <w:r w:rsidRPr="00897DAA">
              <w:rPr>
                <w:rFonts w:cs="Arial"/>
                <w:b/>
                <w:sz w:val="20"/>
                <w:szCs w:val="20"/>
              </w:rPr>
              <w:t>External wall U-value</w:t>
            </w:r>
          </w:p>
        </w:tc>
        <w:tc>
          <w:tcPr>
            <w:tcW w:w="4111" w:type="dxa"/>
          </w:tcPr>
          <w:p w:rsidR="00E44CAE" w:rsidRPr="00897DAA" w:rsidRDefault="00E44CAE" w:rsidP="00F950E5">
            <w:pPr>
              <w:spacing w:before="60" w:after="60" w:line="240" w:lineRule="auto"/>
              <w:rPr>
                <w:rFonts w:cs="Arial"/>
                <w:sz w:val="20"/>
                <w:szCs w:val="20"/>
              </w:rPr>
            </w:pPr>
            <w:r>
              <w:rPr>
                <w:rFonts w:cs="Arial"/>
                <w:sz w:val="20"/>
                <w:szCs w:val="20"/>
              </w:rPr>
              <w:t>External insulation</w:t>
            </w:r>
          </w:p>
        </w:tc>
        <w:tc>
          <w:tcPr>
            <w:tcW w:w="2693" w:type="dxa"/>
          </w:tcPr>
          <w:p w:rsidR="00E44CAE" w:rsidRPr="00897DAA" w:rsidRDefault="00DD3F8B" w:rsidP="00F950E5">
            <w:pPr>
              <w:spacing w:before="60" w:after="60" w:line="240" w:lineRule="auto"/>
              <w:rPr>
                <w:rFonts w:cs="Arial"/>
                <w:sz w:val="20"/>
                <w:szCs w:val="20"/>
              </w:rPr>
            </w:pPr>
            <w:r>
              <w:rPr>
                <w:rFonts w:cs="Arial"/>
                <w:sz w:val="20"/>
                <w:szCs w:val="20"/>
              </w:rPr>
              <w:t>0.15</w:t>
            </w:r>
            <w:r w:rsidR="00E44CAE" w:rsidRPr="00897DAA">
              <w:rPr>
                <w:rFonts w:cs="Arial"/>
                <w:sz w:val="20"/>
                <w:szCs w:val="20"/>
              </w:rPr>
              <w:t xml:space="preserve"> W/(m</w:t>
            </w:r>
            <w:r w:rsidR="00E44CAE" w:rsidRPr="00897DAA">
              <w:rPr>
                <w:rFonts w:cs="Arial"/>
                <w:sz w:val="20"/>
                <w:szCs w:val="20"/>
                <w:vertAlign w:val="superscript"/>
              </w:rPr>
              <w:t>2</w:t>
            </w:r>
            <w:r w:rsidR="00E44CAE" w:rsidRPr="00897DAA">
              <w:rPr>
                <w:rFonts w:cs="Arial"/>
                <w:sz w:val="20"/>
                <w:szCs w:val="20"/>
              </w:rPr>
              <w:t>.K)</w:t>
            </w:r>
          </w:p>
        </w:tc>
      </w:tr>
      <w:tr w:rsidR="00E44CAE" w:rsidRPr="00D611C6" w:rsidTr="00F950E5">
        <w:tc>
          <w:tcPr>
            <w:tcW w:w="2093" w:type="dxa"/>
          </w:tcPr>
          <w:p w:rsidR="00E44CAE" w:rsidRPr="00897DAA" w:rsidRDefault="00E44CAE" w:rsidP="00F950E5">
            <w:pPr>
              <w:spacing w:before="60" w:after="60" w:line="240" w:lineRule="auto"/>
              <w:rPr>
                <w:rFonts w:cs="Arial"/>
                <w:b/>
                <w:sz w:val="20"/>
                <w:szCs w:val="20"/>
              </w:rPr>
            </w:pPr>
            <w:r w:rsidRPr="00897DAA">
              <w:rPr>
                <w:rFonts w:cs="Arial"/>
                <w:b/>
                <w:sz w:val="20"/>
                <w:szCs w:val="20"/>
              </w:rPr>
              <w:t>Roof U-value</w:t>
            </w:r>
          </w:p>
        </w:tc>
        <w:tc>
          <w:tcPr>
            <w:tcW w:w="4111" w:type="dxa"/>
          </w:tcPr>
          <w:p w:rsidR="00E44CAE" w:rsidRPr="00897DAA" w:rsidRDefault="00E44CAE" w:rsidP="00E44CAE">
            <w:pPr>
              <w:spacing w:before="60" w:after="60" w:line="240" w:lineRule="auto"/>
              <w:rPr>
                <w:rFonts w:cs="Arial"/>
                <w:sz w:val="20"/>
                <w:szCs w:val="20"/>
              </w:rPr>
            </w:pPr>
            <w:r w:rsidRPr="00897DAA">
              <w:rPr>
                <w:rFonts w:cs="Arial"/>
                <w:sz w:val="20"/>
                <w:szCs w:val="20"/>
              </w:rPr>
              <w:t xml:space="preserve">Pitched w/ </w:t>
            </w:r>
            <w:r>
              <w:rPr>
                <w:rFonts w:cs="Arial"/>
                <w:sz w:val="20"/>
                <w:szCs w:val="20"/>
              </w:rPr>
              <w:t xml:space="preserve">230 </w:t>
            </w:r>
            <w:r w:rsidRPr="00897DAA">
              <w:rPr>
                <w:rFonts w:cs="Arial"/>
                <w:sz w:val="20"/>
                <w:szCs w:val="20"/>
              </w:rPr>
              <w:t>mm insulation</w:t>
            </w:r>
          </w:p>
        </w:tc>
        <w:tc>
          <w:tcPr>
            <w:tcW w:w="2693" w:type="dxa"/>
          </w:tcPr>
          <w:p w:rsidR="00E44CAE" w:rsidRPr="00897DAA" w:rsidRDefault="00E44CAE" w:rsidP="00F950E5">
            <w:pPr>
              <w:spacing w:before="60" w:after="60" w:line="240" w:lineRule="auto"/>
              <w:rPr>
                <w:rFonts w:cs="Arial"/>
                <w:sz w:val="20"/>
                <w:szCs w:val="20"/>
              </w:rPr>
            </w:pPr>
            <w:r>
              <w:rPr>
                <w:rFonts w:cs="Arial"/>
                <w:sz w:val="20"/>
                <w:szCs w:val="20"/>
              </w:rPr>
              <w:t>0.12</w:t>
            </w:r>
            <w:r w:rsidRPr="00897DAA">
              <w:rPr>
                <w:rFonts w:cs="Arial"/>
                <w:sz w:val="20"/>
                <w:szCs w:val="20"/>
              </w:rPr>
              <w:t xml:space="preserve"> W/(m</w:t>
            </w:r>
            <w:r w:rsidRPr="00897DAA">
              <w:rPr>
                <w:rFonts w:cs="Arial"/>
                <w:sz w:val="20"/>
                <w:szCs w:val="20"/>
                <w:vertAlign w:val="superscript"/>
              </w:rPr>
              <w:t>2</w:t>
            </w:r>
            <w:r w:rsidRPr="00897DAA">
              <w:rPr>
                <w:rFonts w:cs="Arial"/>
                <w:sz w:val="20"/>
                <w:szCs w:val="20"/>
              </w:rPr>
              <w:t>.K)</w:t>
            </w:r>
          </w:p>
        </w:tc>
      </w:tr>
      <w:tr w:rsidR="00E44CAE" w:rsidRPr="00D611C6" w:rsidTr="00F950E5">
        <w:tc>
          <w:tcPr>
            <w:tcW w:w="2093" w:type="dxa"/>
          </w:tcPr>
          <w:p w:rsidR="00E44CAE" w:rsidRPr="00897DAA" w:rsidRDefault="00E44CAE" w:rsidP="00F950E5">
            <w:pPr>
              <w:spacing w:before="60" w:after="60" w:line="240" w:lineRule="auto"/>
              <w:rPr>
                <w:rFonts w:cs="Arial"/>
                <w:b/>
                <w:sz w:val="20"/>
                <w:szCs w:val="20"/>
              </w:rPr>
            </w:pPr>
            <w:r w:rsidRPr="00897DAA">
              <w:rPr>
                <w:rFonts w:cs="Arial"/>
                <w:b/>
                <w:sz w:val="20"/>
                <w:szCs w:val="20"/>
              </w:rPr>
              <w:t>Ground floor U-value</w:t>
            </w:r>
          </w:p>
        </w:tc>
        <w:tc>
          <w:tcPr>
            <w:tcW w:w="4111" w:type="dxa"/>
          </w:tcPr>
          <w:p w:rsidR="00E44CAE" w:rsidRPr="00897DAA" w:rsidRDefault="00E44CAE" w:rsidP="00F950E5">
            <w:pPr>
              <w:spacing w:before="60" w:after="60" w:line="240" w:lineRule="auto"/>
              <w:rPr>
                <w:rFonts w:cs="Arial"/>
                <w:sz w:val="20"/>
                <w:szCs w:val="20"/>
              </w:rPr>
            </w:pPr>
            <w:r w:rsidRPr="00897DAA">
              <w:rPr>
                <w:rFonts w:cs="Arial"/>
                <w:sz w:val="20"/>
                <w:szCs w:val="20"/>
              </w:rPr>
              <w:t>Solid</w:t>
            </w:r>
          </w:p>
        </w:tc>
        <w:tc>
          <w:tcPr>
            <w:tcW w:w="2693" w:type="dxa"/>
          </w:tcPr>
          <w:p w:rsidR="00E44CAE" w:rsidRPr="00897DAA" w:rsidRDefault="00E44CAE" w:rsidP="00F950E5">
            <w:pPr>
              <w:spacing w:before="60" w:after="60" w:line="240" w:lineRule="auto"/>
              <w:rPr>
                <w:rFonts w:cs="Arial"/>
                <w:sz w:val="20"/>
                <w:szCs w:val="20"/>
              </w:rPr>
            </w:pPr>
            <w:r w:rsidRPr="00897DAA">
              <w:rPr>
                <w:rFonts w:cs="Arial"/>
                <w:sz w:val="20"/>
                <w:szCs w:val="20"/>
              </w:rPr>
              <w:t>0.15 W/(m</w:t>
            </w:r>
            <w:r w:rsidRPr="00897DAA">
              <w:rPr>
                <w:rFonts w:cs="Arial"/>
                <w:sz w:val="20"/>
                <w:szCs w:val="20"/>
                <w:vertAlign w:val="superscript"/>
              </w:rPr>
              <w:t>2</w:t>
            </w:r>
            <w:r w:rsidRPr="00897DAA">
              <w:rPr>
                <w:rFonts w:cs="Arial"/>
                <w:sz w:val="20"/>
                <w:szCs w:val="20"/>
              </w:rPr>
              <w:t>.K)</w:t>
            </w:r>
          </w:p>
        </w:tc>
      </w:tr>
      <w:tr w:rsidR="00E44CAE" w:rsidRPr="00D611C6" w:rsidTr="00F950E5">
        <w:tc>
          <w:tcPr>
            <w:tcW w:w="2093" w:type="dxa"/>
          </w:tcPr>
          <w:p w:rsidR="00E44CAE" w:rsidRPr="00897DAA" w:rsidRDefault="00E44CAE" w:rsidP="00E44CAE">
            <w:pPr>
              <w:spacing w:before="60" w:after="60" w:line="240" w:lineRule="auto"/>
              <w:rPr>
                <w:rFonts w:cs="Arial"/>
                <w:b/>
                <w:sz w:val="20"/>
                <w:szCs w:val="20"/>
              </w:rPr>
            </w:pPr>
            <w:r>
              <w:rPr>
                <w:rFonts w:cs="Arial"/>
                <w:b/>
                <w:sz w:val="20"/>
                <w:szCs w:val="20"/>
              </w:rPr>
              <w:t xml:space="preserve">Windows and </w:t>
            </w:r>
            <w:r w:rsidRPr="00897DAA">
              <w:rPr>
                <w:rFonts w:cs="Arial"/>
                <w:b/>
                <w:sz w:val="20"/>
                <w:szCs w:val="20"/>
              </w:rPr>
              <w:t>Door</w:t>
            </w:r>
          </w:p>
        </w:tc>
        <w:tc>
          <w:tcPr>
            <w:tcW w:w="6804" w:type="dxa"/>
            <w:gridSpan w:val="2"/>
          </w:tcPr>
          <w:p w:rsidR="00E44CAE" w:rsidRPr="00897DAA" w:rsidRDefault="00E44CAE" w:rsidP="00E44CAE">
            <w:pPr>
              <w:spacing w:before="60" w:after="60" w:line="240" w:lineRule="auto"/>
              <w:rPr>
                <w:rFonts w:cs="Arial"/>
                <w:sz w:val="20"/>
                <w:szCs w:val="20"/>
              </w:rPr>
            </w:pPr>
            <w:r>
              <w:rPr>
                <w:rFonts w:cs="Arial"/>
                <w:sz w:val="20"/>
                <w:szCs w:val="20"/>
              </w:rPr>
              <w:t>No change</w:t>
            </w:r>
          </w:p>
        </w:tc>
      </w:tr>
      <w:tr w:rsidR="00E44CAE" w:rsidRPr="00D611C6" w:rsidTr="00F950E5">
        <w:tc>
          <w:tcPr>
            <w:tcW w:w="2093" w:type="dxa"/>
          </w:tcPr>
          <w:p w:rsidR="00E44CAE" w:rsidRPr="00897DAA" w:rsidRDefault="00E44CAE" w:rsidP="00F950E5">
            <w:pPr>
              <w:spacing w:before="60" w:after="60" w:line="240" w:lineRule="auto"/>
              <w:rPr>
                <w:rFonts w:cs="Arial"/>
                <w:b/>
                <w:sz w:val="20"/>
                <w:szCs w:val="20"/>
              </w:rPr>
            </w:pPr>
            <w:r w:rsidRPr="00897DAA">
              <w:rPr>
                <w:rFonts w:cs="Arial"/>
                <w:b/>
                <w:sz w:val="20"/>
                <w:szCs w:val="20"/>
              </w:rPr>
              <w:lastRenderedPageBreak/>
              <w:t>Design air permeability</w:t>
            </w:r>
          </w:p>
        </w:tc>
        <w:tc>
          <w:tcPr>
            <w:tcW w:w="6804" w:type="dxa"/>
            <w:gridSpan w:val="2"/>
          </w:tcPr>
          <w:p w:rsidR="00E44CAE" w:rsidRPr="00897DAA" w:rsidRDefault="00E44CAE" w:rsidP="00F950E5">
            <w:pPr>
              <w:pStyle w:val="TableText"/>
              <w:spacing w:before="60" w:after="60" w:line="240" w:lineRule="auto"/>
              <w:rPr>
                <w:rFonts w:asciiTheme="minorHAnsi" w:hAnsiTheme="minorHAnsi"/>
                <w:sz w:val="20"/>
              </w:rPr>
            </w:pPr>
            <w:r>
              <w:rPr>
                <w:rFonts w:asciiTheme="minorHAnsi" w:hAnsiTheme="minorHAnsi" w:cs="Arial"/>
                <w:sz w:val="20"/>
              </w:rPr>
              <w:t>4</w:t>
            </w:r>
            <w:r w:rsidR="00F950E5">
              <w:rPr>
                <w:rFonts w:asciiTheme="minorHAnsi" w:hAnsiTheme="minorHAnsi" w:cs="Arial"/>
                <w:sz w:val="20"/>
              </w:rPr>
              <w:t xml:space="preserve"> </w:t>
            </w:r>
            <w:r w:rsidRPr="00897DAA">
              <w:rPr>
                <w:rFonts w:asciiTheme="minorHAnsi" w:hAnsiTheme="minorHAnsi" w:cs="Arial"/>
                <w:sz w:val="20"/>
              </w:rPr>
              <w:t>m</w:t>
            </w:r>
            <w:r w:rsidRPr="00897DAA">
              <w:rPr>
                <w:rFonts w:asciiTheme="minorHAnsi" w:hAnsiTheme="minorHAnsi" w:cs="Arial"/>
                <w:sz w:val="20"/>
                <w:vertAlign w:val="superscript"/>
              </w:rPr>
              <w:t>3</w:t>
            </w:r>
            <w:r w:rsidRPr="00897DAA">
              <w:rPr>
                <w:rFonts w:asciiTheme="minorHAnsi" w:hAnsiTheme="minorHAnsi" w:cs="Arial"/>
                <w:sz w:val="20"/>
              </w:rPr>
              <w:t>/(h.m</w:t>
            </w:r>
            <w:r w:rsidRPr="00897DAA">
              <w:rPr>
                <w:rFonts w:asciiTheme="minorHAnsi" w:hAnsiTheme="minorHAnsi" w:cs="Arial"/>
                <w:sz w:val="20"/>
                <w:vertAlign w:val="superscript"/>
              </w:rPr>
              <w:t>2</w:t>
            </w:r>
            <w:r w:rsidRPr="00897DAA">
              <w:rPr>
                <w:rFonts w:asciiTheme="minorHAnsi" w:hAnsiTheme="minorHAnsi" w:cs="Arial"/>
                <w:sz w:val="20"/>
              </w:rPr>
              <w:t>)@50pa</w:t>
            </w:r>
          </w:p>
        </w:tc>
      </w:tr>
      <w:tr w:rsidR="00E44CAE" w:rsidRPr="00D611C6" w:rsidTr="00F950E5">
        <w:tc>
          <w:tcPr>
            <w:tcW w:w="2093" w:type="dxa"/>
          </w:tcPr>
          <w:p w:rsidR="00E44CAE" w:rsidRPr="00897DAA" w:rsidRDefault="00E44CAE" w:rsidP="00F950E5">
            <w:pPr>
              <w:spacing w:before="60" w:after="60" w:line="240" w:lineRule="auto"/>
              <w:rPr>
                <w:rFonts w:cs="Arial"/>
                <w:b/>
                <w:sz w:val="20"/>
                <w:szCs w:val="20"/>
              </w:rPr>
            </w:pPr>
            <w:r w:rsidRPr="00897DAA">
              <w:rPr>
                <w:rFonts w:cs="Arial"/>
                <w:b/>
                <w:sz w:val="20"/>
                <w:szCs w:val="20"/>
              </w:rPr>
              <w:t>Heating</w:t>
            </w:r>
            <w:r>
              <w:rPr>
                <w:rFonts w:cs="Arial"/>
                <w:b/>
                <w:sz w:val="20"/>
                <w:szCs w:val="20"/>
              </w:rPr>
              <w:t>, ventilation, DHW and schedules</w:t>
            </w:r>
          </w:p>
        </w:tc>
        <w:tc>
          <w:tcPr>
            <w:tcW w:w="6804" w:type="dxa"/>
            <w:gridSpan w:val="2"/>
          </w:tcPr>
          <w:p w:rsidR="00E44CAE" w:rsidRPr="00897DAA" w:rsidRDefault="00E44CAE" w:rsidP="00F950E5">
            <w:pPr>
              <w:pStyle w:val="TableText"/>
              <w:spacing w:before="60" w:after="60" w:line="240" w:lineRule="auto"/>
              <w:rPr>
                <w:rFonts w:asciiTheme="minorHAnsi" w:hAnsiTheme="minorHAnsi" w:cs="Arial"/>
                <w:sz w:val="20"/>
              </w:rPr>
            </w:pPr>
            <w:r>
              <w:rPr>
                <w:rFonts w:asciiTheme="minorHAnsi" w:hAnsiTheme="minorHAnsi" w:cs="Arial"/>
                <w:sz w:val="20"/>
              </w:rPr>
              <w:t>No change</w:t>
            </w:r>
          </w:p>
        </w:tc>
      </w:tr>
    </w:tbl>
    <w:p w:rsidR="008D4B0E" w:rsidRDefault="00C95866" w:rsidP="008D4B0E">
      <w:pPr>
        <w:pStyle w:val="Heading1"/>
      </w:pPr>
      <w:r>
        <w:t>5.</w:t>
      </w:r>
      <w:r>
        <w:tab/>
      </w:r>
      <w:r w:rsidR="00F306AC">
        <w:t>Simulation r</w:t>
      </w:r>
      <w:r w:rsidR="00677AC6">
        <w:t>esults</w:t>
      </w:r>
    </w:p>
    <w:p w:rsidR="008C72C2" w:rsidRPr="001D63DF" w:rsidRDefault="008C72C2" w:rsidP="001D63DF">
      <w:pPr>
        <w:pStyle w:val="Heading2"/>
        <w:rPr>
          <w:i/>
        </w:rPr>
      </w:pPr>
      <w:r w:rsidRPr="001D63DF">
        <w:rPr>
          <w:i/>
        </w:rPr>
        <w:t xml:space="preserve">Baseline </w:t>
      </w:r>
      <w:r w:rsidR="00607394" w:rsidRPr="001D63DF">
        <w:rPr>
          <w:i/>
        </w:rPr>
        <w:t>models</w:t>
      </w:r>
    </w:p>
    <w:p w:rsidR="00897DAA" w:rsidRDefault="002766EC" w:rsidP="00897DAA">
      <w:r>
        <w:t xml:space="preserve">The </w:t>
      </w:r>
      <w:r w:rsidRPr="001D63DF">
        <w:rPr>
          <w:i/>
        </w:rPr>
        <w:t>baseline</w:t>
      </w:r>
      <w:r>
        <w:t xml:space="preserve"> dwellings were designed to perform better than the UK building regulations. The </w:t>
      </w:r>
      <w:r w:rsidRPr="001D63DF">
        <w:rPr>
          <w:i/>
        </w:rPr>
        <w:t>Baseline+ version</w:t>
      </w:r>
      <w:r>
        <w:t xml:space="preserve"> improved the results a little beyond the baseline </w:t>
      </w:r>
      <w:r w:rsidR="00381785">
        <w:t>by</w:t>
      </w:r>
      <w:r>
        <w:t xml:space="preserve"> </w:t>
      </w:r>
      <w:r w:rsidR="00381785">
        <w:t>introducing</w:t>
      </w:r>
      <w:r>
        <w:t xml:space="preserve"> renewable energy at the building level. </w:t>
      </w:r>
      <w:r w:rsidR="00E16D9B">
        <w:t>Figure 2</w:t>
      </w:r>
      <w:r w:rsidR="00897DAA">
        <w:t xml:space="preserve"> shows the results for the model for the first three </w:t>
      </w:r>
      <w:r w:rsidR="00D10F3F">
        <w:t>modelling stages (</w:t>
      </w:r>
      <w:r w:rsidR="00D10F3F" w:rsidRPr="001D63DF">
        <w:rPr>
          <w:i/>
        </w:rPr>
        <w:t>Reference: typical and regulations</w:t>
      </w:r>
      <w:r w:rsidR="00D10F3F">
        <w:t xml:space="preserve">; </w:t>
      </w:r>
      <w:r w:rsidR="00D10F3F" w:rsidRPr="001D63DF">
        <w:rPr>
          <w:i/>
        </w:rPr>
        <w:t>Baseline</w:t>
      </w:r>
      <w:r w:rsidR="00D10F3F">
        <w:t xml:space="preserve"> and </w:t>
      </w:r>
      <w:r w:rsidR="00D10F3F" w:rsidRPr="001D63DF">
        <w:rPr>
          <w:i/>
        </w:rPr>
        <w:t>Baseline+</w:t>
      </w:r>
      <w:r w:rsidR="00D10F3F">
        <w:t>)</w:t>
      </w:r>
      <w:r w:rsidR="00897DAA">
        <w:t>.</w:t>
      </w:r>
    </w:p>
    <w:p w:rsidR="001F6240" w:rsidRDefault="0088595E" w:rsidP="00897DAA">
      <w:r>
        <w:rPr>
          <w:noProof/>
          <w:lang w:eastAsia="en-GB"/>
        </w:rPr>
        <w:drawing>
          <wp:inline distT="0" distB="0" distL="0" distR="0" wp14:anchorId="1FBFFB98" wp14:editId="2323C7E5">
            <wp:extent cx="5731510" cy="3224053"/>
            <wp:effectExtent l="0" t="0" r="254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97DAA" w:rsidRDefault="00897DAA" w:rsidP="00897DAA">
      <w:r>
        <w:rPr>
          <w:b/>
        </w:rPr>
        <w:t>Figure 2</w:t>
      </w:r>
      <w:r>
        <w:t xml:space="preserve"> Baseline and reference models results </w:t>
      </w:r>
    </w:p>
    <w:p w:rsidR="008C72C2" w:rsidRPr="001D63DF" w:rsidRDefault="008C72C2" w:rsidP="001D63DF">
      <w:pPr>
        <w:pStyle w:val="Heading2"/>
        <w:rPr>
          <w:i/>
        </w:rPr>
      </w:pPr>
      <w:r w:rsidRPr="001D63DF">
        <w:rPr>
          <w:i/>
        </w:rPr>
        <w:t xml:space="preserve">NZE </w:t>
      </w:r>
      <w:r w:rsidR="00932A98">
        <w:rPr>
          <w:i/>
        </w:rPr>
        <w:t>energy models</w:t>
      </w:r>
    </w:p>
    <w:p w:rsidR="008F7EE4" w:rsidRDefault="00E16D9B" w:rsidP="001D63DF">
      <w:r>
        <w:t>Advanced insulation provides a needed reduction in space heating for the dwellings</w:t>
      </w:r>
      <w:r w:rsidR="00D22FBA">
        <w:t xml:space="preserve"> (also </w:t>
      </w:r>
      <w:r w:rsidR="001B17DB">
        <w:t>the greatest savings in energy reduction</w:t>
      </w:r>
      <w:r w:rsidR="00D22FBA">
        <w:t xml:space="preserve"> among the </w:t>
      </w:r>
      <w:r w:rsidR="00932A98">
        <w:t xml:space="preserve">advanced energy </w:t>
      </w:r>
      <w:r w:rsidR="00D22FBA">
        <w:t>technologies)</w:t>
      </w:r>
      <w:r w:rsidR="001A0263">
        <w:t xml:space="preserve"> in the </w:t>
      </w:r>
      <w:proofErr w:type="spellStart"/>
      <w:r w:rsidR="001A0263" w:rsidRPr="001D63DF">
        <w:rPr>
          <w:i/>
        </w:rPr>
        <w:t>NZE_</w:t>
      </w:r>
      <w:r w:rsidR="003C782E" w:rsidRPr="001D63DF">
        <w:rPr>
          <w:i/>
        </w:rPr>
        <w:t>red</w:t>
      </w:r>
      <w:r w:rsidR="001A0263" w:rsidRPr="001D63DF">
        <w:rPr>
          <w:i/>
        </w:rPr>
        <w:t>+gen</w:t>
      </w:r>
      <w:proofErr w:type="spellEnd"/>
      <w:r w:rsidR="003C782E">
        <w:t xml:space="preserve"> model</w:t>
      </w:r>
      <w:r>
        <w:t xml:space="preserve">. </w:t>
      </w:r>
      <w:r w:rsidR="00D22FBA">
        <w:t>O</w:t>
      </w:r>
      <w:r>
        <w:t xml:space="preserve">ne feature that makes the advanced insulation particularly different is that it is </w:t>
      </w:r>
      <w:r w:rsidR="001B17DB">
        <w:t xml:space="preserve">an external insulation </w:t>
      </w:r>
      <w:r>
        <w:t>coated with a highly reflective surface material. According to the current climate weather year data used for simulation, this is not particularly useful and can be disadvantageous during cold periods but is expected to be useful in the future climate to mitigate overheating risk</w:t>
      </w:r>
      <w:r w:rsidR="001B17DB">
        <w:t xml:space="preserve"> in the UK</w:t>
      </w:r>
      <w:r>
        <w:t xml:space="preserve"> </w:t>
      </w:r>
      <w:r>
        <w:fldChar w:fldCharType="begin"/>
      </w:r>
      <w:r w:rsidR="00704A4F">
        <w:instrText xml:space="preserve"> ADDIN EN.CITE &lt;EndNote&gt;&lt;Cite&gt;&lt;Author&gt;Gupta&lt;/Author&gt;&lt;Year&gt;2012&lt;/Year&gt;&lt;RecNum&gt;2&lt;/RecNum&gt;&lt;DisplayText&gt;[12]&lt;/DisplayText&gt;&lt;record&gt;&lt;rec-number&gt;2&lt;/rec-number&gt;&lt;foreign-keys&gt;&lt;key app="EN" db-id="dtvfvp55j2tw0ned5ruxvv51zwdxaxr9wft0" timestamp="1435770615"&gt;2&lt;/key&gt;&lt;/foreign-keys&gt;&lt;ref-type name="Journal Article"&gt;17&lt;/ref-type&gt;&lt;contributors&gt;&lt;authors&gt;&lt;author&gt;Gupta, Rajat&lt;/author&gt;&lt;author&gt;Gregg, Matthew&lt;/author&gt;&lt;/authors&gt;&lt;/contributors&gt;&lt;titles&gt;&lt;title&gt;Using UK climate change projections to adapt existing English homes for a warming climate&lt;/title&gt;&lt;secondary-title&gt;Building and Environment&lt;/secondary-title&gt;&lt;/titles&gt;&lt;periodical&gt;&lt;full-title&gt;Building and Environment&lt;/full-title&gt;&lt;/periodical&gt;&lt;pages&gt;20-42&lt;/pages&gt;&lt;volume&gt;55&lt;/volume&gt;&lt;number&gt;September&lt;/number&gt;&lt;keywords&gt;&lt;keyword&gt;Climate change&lt;/keyword&gt;&lt;keyword&gt;Overheating&lt;/keyword&gt;&lt;keyword&gt;Adaptation&lt;/keyword&gt;&lt;keyword&gt;Mitigation&lt;/keyword&gt;&lt;keyword&gt;Suburban housing&lt;/keyword&gt;&lt;/keywords&gt;&lt;dates&gt;&lt;year&gt;2012&lt;/year&gt;&lt;pub-dates&gt;&lt;date&gt;9//&lt;/date&gt;&lt;/pub-dates&gt;&lt;/dates&gt;&lt;isbn&gt;0360-1323&lt;/isbn&gt;&lt;urls&gt;&lt;related-urls&gt;&lt;url&gt;http://www.sciencedirect.com/science/article/pii/S0360132312000236&lt;/url&gt;&lt;/related-urls&gt;&lt;/urls&gt;&lt;electronic-resource-num&gt;http://dx.doi.org/10.1016/j.buildenv.2012.01.014&lt;/electronic-resource-num&gt;&lt;/record&gt;&lt;/Cite&gt;&lt;/EndNote&gt;</w:instrText>
      </w:r>
      <w:r>
        <w:fldChar w:fldCharType="separate"/>
      </w:r>
      <w:r w:rsidR="00704A4F">
        <w:rPr>
          <w:noProof/>
        </w:rPr>
        <w:t>[12]</w:t>
      </w:r>
      <w:r>
        <w:fldChar w:fldCharType="end"/>
      </w:r>
      <w:r>
        <w:t>.</w:t>
      </w:r>
      <w:r w:rsidR="0051307D">
        <w:t xml:space="preserve"> </w:t>
      </w:r>
      <w:r w:rsidR="001C30A8">
        <w:t>Interestingly</w:t>
      </w:r>
      <w:r w:rsidR="002F3E56">
        <w:t xml:space="preserve"> </w:t>
      </w:r>
      <w:proofErr w:type="spellStart"/>
      <w:r w:rsidR="002F3E56">
        <w:t>b</w:t>
      </w:r>
      <w:r w:rsidR="00DE63F8">
        <w:t>iPV</w:t>
      </w:r>
      <w:proofErr w:type="spellEnd"/>
      <w:r w:rsidR="00DE63F8">
        <w:t xml:space="preserve"> </w:t>
      </w:r>
      <w:r w:rsidR="00932A98">
        <w:t xml:space="preserve">technology </w:t>
      </w:r>
      <w:r w:rsidR="00B5262A">
        <w:t>resulted in a</w:t>
      </w:r>
      <w:r w:rsidR="0066793C">
        <w:t>n overall increase in final energy consumption</w:t>
      </w:r>
      <w:r w:rsidR="002F3E56">
        <w:t xml:space="preserve">. Though there was a small increase in generation, the use of </w:t>
      </w:r>
      <w:proofErr w:type="spellStart"/>
      <w:r w:rsidR="002F3E56">
        <w:t>biPV</w:t>
      </w:r>
      <w:proofErr w:type="spellEnd"/>
      <w:r w:rsidR="002F3E56">
        <w:t xml:space="preserve"> as a skylight in the dwelling increased space heating consumption due to loss of roof </w:t>
      </w:r>
      <w:r w:rsidR="00D22FBA">
        <w:t>section which would have had</w:t>
      </w:r>
      <w:r w:rsidR="002F3E56">
        <w:t xml:space="preserve"> a greater quality of insulation. </w:t>
      </w:r>
      <w:proofErr w:type="spellStart"/>
      <w:r w:rsidR="002F3E56">
        <w:t>BiPV</w:t>
      </w:r>
      <w:proofErr w:type="spellEnd"/>
      <w:r w:rsidR="002F3E56">
        <w:t xml:space="preserve"> could alternatively be used at site level, as examples, on an entry canopy or bus shelter cover; however, in this project this need did not arise. </w:t>
      </w:r>
      <w:proofErr w:type="spellStart"/>
      <w:r w:rsidR="002F3E56">
        <w:t>BiPV</w:t>
      </w:r>
      <w:proofErr w:type="spellEnd"/>
      <w:r w:rsidR="002F3E56">
        <w:t xml:space="preserve"> was</w:t>
      </w:r>
      <w:r w:rsidR="00DE63F8">
        <w:t xml:space="preserve"> </w:t>
      </w:r>
      <w:r w:rsidR="002F3E56">
        <w:t xml:space="preserve">not selected for use </w:t>
      </w:r>
      <w:r w:rsidR="00492AB2">
        <w:t>in the study</w:t>
      </w:r>
      <w:r w:rsidR="00DE63F8">
        <w:t xml:space="preserve"> due to the increa</w:t>
      </w:r>
      <w:r w:rsidR="002F3E56">
        <w:t xml:space="preserve">se in space heating requirement and </w:t>
      </w:r>
      <w:r w:rsidR="00DE63F8">
        <w:t>preliminary assessment of cost</w:t>
      </w:r>
      <w:r w:rsidR="008F7EE4">
        <w:t xml:space="preserve">. </w:t>
      </w:r>
    </w:p>
    <w:p w:rsidR="00C17E64" w:rsidRDefault="00DE63F8" w:rsidP="00DE63F8">
      <w:r>
        <w:lastRenderedPageBreak/>
        <w:t xml:space="preserve">The reduction in regulated energy use by the CHP only considers real time utilisation of the thermal energy by the two case study dwellings based on hourly consumption for each dwelling. The CHP system is however, more effective than it appears </w:t>
      </w:r>
      <w:r w:rsidR="008F7EE4">
        <w:t>if</w:t>
      </w:r>
      <w:r>
        <w:t xml:space="preserve"> the exported thermal energy not used by the case study dwellings </w:t>
      </w:r>
      <w:r w:rsidR="008F7EE4">
        <w:t>could</w:t>
      </w:r>
      <w:r>
        <w:t xml:space="preserve"> be utilised by other dwellings in the development, i.e. 100% of thermal and solar generation by the CHP is usable. </w:t>
      </w:r>
      <w:r w:rsidR="008F7EE4">
        <w:t>The CHP was, however, not selected for the final model in a later optimisation phase as the systems potential would not be maximised in the UK climate.</w:t>
      </w:r>
      <w:r w:rsidR="0051307D">
        <w:t xml:space="preserve"> </w:t>
      </w:r>
      <w:r w:rsidR="003B149D">
        <w:t>On the other hand, t</w:t>
      </w:r>
      <w:r w:rsidR="00DF703F">
        <w:t>hree</w:t>
      </w:r>
      <w:r w:rsidR="00C17E64">
        <w:t xml:space="preserve"> </w:t>
      </w:r>
      <w:proofErr w:type="spellStart"/>
      <w:r w:rsidR="00C17E64">
        <w:t>WindPV</w:t>
      </w:r>
      <w:proofErr w:type="spellEnd"/>
      <w:r w:rsidR="00C17E64">
        <w:t xml:space="preserve"> system</w:t>
      </w:r>
      <w:r w:rsidR="00DF703F">
        <w:t xml:space="preserve">s </w:t>
      </w:r>
      <w:r w:rsidR="00C17E64">
        <w:t xml:space="preserve">provided a little over half of the community </w:t>
      </w:r>
      <w:r w:rsidR="00DF703F">
        <w:t>supplied</w:t>
      </w:r>
      <w:r w:rsidR="00C17E64">
        <w:t xml:space="preserve"> energy generation needed</w:t>
      </w:r>
      <w:r w:rsidR="00DF703F">
        <w:t xml:space="preserve"> for the two dwellings</w:t>
      </w:r>
      <w:r w:rsidR="00C17E64">
        <w:t xml:space="preserve">. </w:t>
      </w:r>
      <w:r w:rsidR="00211E2F">
        <w:t>The systems generated an estimated 1809 kWh/</w:t>
      </w:r>
      <w:proofErr w:type="spellStart"/>
      <w:r w:rsidR="00211E2F">
        <w:t>yr</w:t>
      </w:r>
      <w:proofErr w:type="spellEnd"/>
      <w:r w:rsidR="00211E2F">
        <w:t xml:space="preserve"> per system (911 kWh from solar and 898 kWh from wind). </w:t>
      </w:r>
      <w:r w:rsidR="00C17E64">
        <w:t>Where roughly another 10 kWh/m</w:t>
      </w:r>
      <w:r w:rsidR="00C17E64" w:rsidRPr="00C17E64">
        <w:rPr>
          <w:vertAlign w:val="superscript"/>
        </w:rPr>
        <w:t>2</w:t>
      </w:r>
      <w:r w:rsidR="00C17E64">
        <w:t>/</w:t>
      </w:r>
      <w:proofErr w:type="spellStart"/>
      <w:r w:rsidR="00C17E64">
        <w:t>yr</w:t>
      </w:r>
      <w:proofErr w:type="spellEnd"/>
      <w:r w:rsidR="00C17E64">
        <w:t xml:space="preserve"> per dwelling was needed, PV placed on the energy centre roof was able to supplement the remaining generation need.</w:t>
      </w:r>
      <w:r w:rsidR="002F7418">
        <w:t xml:space="preserve"> To summarise</w:t>
      </w:r>
      <w:r w:rsidR="00916A6C">
        <w:t>,</w:t>
      </w:r>
      <w:r w:rsidR="002F7418">
        <w:t xml:space="preserve"> the technologies</w:t>
      </w:r>
      <w:r w:rsidR="00916A6C">
        <w:t xml:space="preserve"> (in addition to the </w:t>
      </w:r>
      <w:r w:rsidR="00916A6C" w:rsidRPr="001D63DF">
        <w:rPr>
          <w:i/>
        </w:rPr>
        <w:t>Baseline+ model</w:t>
      </w:r>
      <w:r w:rsidR="00916A6C">
        <w:t xml:space="preserve">) used in the </w:t>
      </w:r>
      <w:proofErr w:type="spellStart"/>
      <w:r w:rsidR="00916A6C" w:rsidRPr="001D63DF">
        <w:rPr>
          <w:i/>
        </w:rPr>
        <w:t>NZE_red+gen</w:t>
      </w:r>
      <w:proofErr w:type="spellEnd"/>
      <w:r w:rsidR="00916A6C">
        <w:t xml:space="preserve"> model are advanced insulation, </w:t>
      </w:r>
      <w:proofErr w:type="spellStart"/>
      <w:r w:rsidR="00916A6C">
        <w:t>WindPV</w:t>
      </w:r>
      <w:proofErr w:type="spellEnd"/>
      <w:r w:rsidR="00916A6C">
        <w:t>, and additional standard PV on the energy centre</w:t>
      </w:r>
      <w:r w:rsidR="008933DA">
        <w:t xml:space="preserve"> of the housing development.</w:t>
      </w:r>
    </w:p>
    <w:p w:rsidR="00DE63F8" w:rsidRDefault="00643525" w:rsidP="00DE63F8">
      <w:r>
        <w:t xml:space="preserve">For the next step in the model, </w:t>
      </w:r>
      <w:r w:rsidRPr="001D63DF">
        <w:rPr>
          <w:i/>
        </w:rPr>
        <w:t>NZE_</w:t>
      </w:r>
      <w:r w:rsidR="00DE63F8" w:rsidRPr="001D63DF">
        <w:rPr>
          <w:i/>
        </w:rPr>
        <w:t>BEMS</w:t>
      </w:r>
      <w:r w:rsidR="00DE63F8">
        <w:t xml:space="preserve"> provides a small reduction in space heating from normal contemporary controls, which allow hourly programming, but is more effective with regard to daylight sensing controls (</w:t>
      </w:r>
      <w:r w:rsidR="009E584F">
        <w:t>16</w:t>
      </w:r>
      <w:r w:rsidR="00DE63F8">
        <w:t xml:space="preserve">% reduction in </w:t>
      </w:r>
      <w:r w:rsidR="009E584F">
        <w:t>lighting</w:t>
      </w:r>
      <w:r w:rsidR="00DE63F8">
        <w:t xml:space="preserve"> energy consumption, </w:t>
      </w:r>
      <w:r w:rsidR="009E584F">
        <w:t xml:space="preserve">however, </w:t>
      </w:r>
      <w:r w:rsidR="00DE63F8">
        <w:t xml:space="preserve">not considered for the target). </w:t>
      </w:r>
      <w:r w:rsidR="0051307D">
        <w:t xml:space="preserve"> Figure 3 shows the impact of each technology on the regulated energy and generation for the two dwellings.</w:t>
      </w:r>
    </w:p>
    <w:p w:rsidR="00E16D9B" w:rsidRDefault="00211E2F" w:rsidP="00E16D9B">
      <w:r>
        <w:rPr>
          <w:noProof/>
          <w:lang w:eastAsia="en-GB"/>
        </w:rPr>
        <w:drawing>
          <wp:inline distT="0" distB="0" distL="0" distR="0" wp14:anchorId="2EB84F38" wp14:editId="6FC3E591">
            <wp:extent cx="5731510" cy="3215545"/>
            <wp:effectExtent l="0" t="0" r="2540" b="444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16D9B" w:rsidRDefault="00E16D9B" w:rsidP="00E16D9B">
      <w:r>
        <w:rPr>
          <w:b/>
        </w:rPr>
        <w:t>Figure 3</w:t>
      </w:r>
      <w:r w:rsidRPr="00DE63F8">
        <w:t xml:space="preserve"> </w:t>
      </w:r>
      <w:r w:rsidR="004113D1">
        <w:t>P</w:t>
      </w:r>
      <w:r w:rsidRPr="00DE63F8">
        <w:t>erformance</w:t>
      </w:r>
      <w:r w:rsidR="004113D1">
        <w:t xml:space="preserve"> of individual energy technologies in the </w:t>
      </w:r>
      <w:proofErr w:type="spellStart"/>
      <w:r w:rsidR="004113D1">
        <w:t>NZE_red+gen</w:t>
      </w:r>
      <w:proofErr w:type="spellEnd"/>
      <w:r w:rsidR="004113D1">
        <w:t xml:space="preserve"> models</w:t>
      </w:r>
    </w:p>
    <w:p w:rsidR="00E16D9B" w:rsidRDefault="00E16D9B" w:rsidP="00DE63F8">
      <w:r>
        <w:t xml:space="preserve">The findings from the simulation exercises show that the </w:t>
      </w:r>
      <w:proofErr w:type="spellStart"/>
      <w:r w:rsidRPr="001D63DF">
        <w:rPr>
          <w:i/>
        </w:rPr>
        <w:t>NZE_red+gen</w:t>
      </w:r>
      <w:proofErr w:type="spellEnd"/>
      <w:r>
        <w:t xml:space="preserve"> version of the case study dwellings </w:t>
      </w:r>
      <w:r w:rsidR="000A611B">
        <w:t xml:space="preserve">achieve </w:t>
      </w:r>
      <w:r>
        <w:t xml:space="preserve">the two NZE targets and are </w:t>
      </w:r>
      <w:r w:rsidR="0060134B">
        <w:t xml:space="preserve">potentially </w:t>
      </w:r>
      <w:r>
        <w:t xml:space="preserve">plus energy buildings. Table </w:t>
      </w:r>
      <w:r w:rsidR="00FC67AD">
        <w:t>6</w:t>
      </w:r>
      <w:r>
        <w:t xml:space="preserve"> shows the final consumption and generation figures for each modelling phase</w:t>
      </w:r>
      <w:r w:rsidR="002F7418">
        <w:t xml:space="preserve"> from the baseline</w:t>
      </w:r>
      <w:r>
        <w:t xml:space="preserve">. </w:t>
      </w:r>
      <w:r w:rsidR="00087924">
        <w:t>Figure 4 shows the final design figures for the two dwellings against the design targets (dashed lines)</w:t>
      </w:r>
    </w:p>
    <w:p w:rsidR="00974A1F" w:rsidRDefault="00974A1F">
      <w:pPr>
        <w:rPr>
          <w:b/>
        </w:rPr>
      </w:pPr>
      <w:r>
        <w:rPr>
          <w:b/>
        </w:rPr>
        <w:br w:type="page"/>
      </w:r>
    </w:p>
    <w:p w:rsidR="00DE63F8" w:rsidRDefault="00DE63F8" w:rsidP="00DE63F8">
      <w:r w:rsidRPr="00DE63F8">
        <w:rPr>
          <w:b/>
        </w:rPr>
        <w:lastRenderedPageBreak/>
        <w:t xml:space="preserve">Table </w:t>
      </w:r>
      <w:r w:rsidR="00FC67AD">
        <w:rPr>
          <w:b/>
        </w:rPr>
        <w:t>6</w:t>
      </w:r>
      <w:r>
        <w:t xml:space="preserve"> Final </w:t>
      </w:r>
      <w:r w:rsidR="00974A1F">
        <w:t xml:space="preserve">energy </w:t>
      </w:r>
      <w:r>
        <w:t>figures</w:t>
      </w:r>
      <w:r w:rsidR="00974A1F">
        <w:t xml:space="preserve"> for the</w:t>
      </w:r>
      <w:r>
        <w:t xml:space="preserve"> baseline and NZE models</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621"/>
        <w:gridCol w:w="1621"/>
        <w:gridCol w:w="1621"/>
        <w:gridCol w:w="1622"/>
      </w:tblGrid>
      <w:tr w:rsidR="00DE63F8" w:rsidRPr="00D611C6" w:rsidTr="008C7444">
        <w:tc>
          <w:tcPr>
            <w:tcW w:w="9287" w:type="dxa"/>
            <w:gridSpan w:val="5"/>
            <w:shd w:val="clear" w:color="auto" w:fill="D9D9D9" w:themeFill="background1" w:themeFillShade="D9"/>
          </w:tcPr>
          <w:p w:rsidR="00DE63F8" w:rsidRPr="00DE63F8" w:rsidRDefault="00DE63F8" w:rsidP="001D63DF">
            <w:pPr>
              <w:spacing w:before="60" w:after="60" w:line="240" w:lineRule="auto"/>
              <w:jc w:val="center"/>
              <w:rPr>
                <w:b/>
                <w:sz w:val="20"/>
                <w:szCs w:val="20"/>
              </w:rPr>
            </w:pPr>
            <w:r w:rsidRPr="00DE63F8">
              <w:rPr>
                <w:b/>
                <w:sz w:val="20"/>
                <w:szCs w:val="20"/>
              </w:rPr>
              <w:t>DWELLING A (</w:t>
            </w:r>
            <w:r w:rsidR="001351E4">
              <w:rPr>
                <w:b/>
                <w:sz w:val="20"/>
                <w:szCs w:val="20"/>
              </w:rPr>
              <w:t>84.4</w:t>
            </w:r>
            <w:r w:rsidRPr="00DE63F8">
              <w:rPr>
                <w:b/>
                <w:sz w:val="20"/>
                <w:szCs w:val="20"/>
              </w:rPr>
              <w:t>m</w:t>
            </w:r>
            <w:r w:rsidRPr="00DE63F8">
              <w:rPr>
                <w:b/>
                <w:sz w:val="20"/>
                <w:szCs w:val="20"/>
                <w:vertAlign w:val="superscript"/>
              </w:rPr>
              <w:t>2</w:t>
            </w:r>
            <w:r w:rsidRPr="00DE63F8">
              <w:rPr>
                <w:b/>
                <w:sz w:val="20"/>
                <w:szCs w:val="20"/>
              </w:rPr>
              <w:t>)</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kWh/m</w:t>
            </w:r>
            <w:r w:rsidRPr="00DE63F8">
              <w:rPr>
                <w:b/>
                <w:sz w:val="20"/>
                <w:szCs w:val="20"/>
                <w:vertAlign w:val="superscript"/>
              </w:rPr>
              <w:t>2</w:t>
            </w:r>
            <w:r w:rsidRPr="00DE63F8">
              <w:rPr>
                <w:b/>
                <w:sz w:val="20"/>
                <w:szCs w:val="20"/>
              </w:rPr>
              <w:t>/</w:t>
            </w:r>
            <w:proofErr w:type="spellStart"/>
            <w:r w:rsidRPr="00DE63F8">
              <w:rPr>
                <w:b/>
                <w:sz w:val="20"/>
                <w:szCs w:val="20"/>
              </w:rPr>
              <w:t>yr</w:t>
            </w:r>
            <w:proofErr w:type="spellEnd"/>
          </w:p>
        </w:tc>
        <w:tc>
          <w:tcPr>
            <w:tcW w:w="1621"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Baseline</w:t>
            </w:r>
          </w:p>
        </w:tc>
        <w:tc>
          <w:tcPr>
            <w:tcW w:w="1621"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Baseline+</w:t>
            </w:r>
          </w:p>
        </w:tc>
        <w:tc>
          <w:tcPr>
            <w:tcW w:w="1621"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 xml:space="preserve">NZE </w:t>
            </w:r>
            <w:proofErr w:type="spellStart"/>
            <w:r w:rsidRPr="00DE63F8">
              <w:rPr>
                <w:b/>
                <w:sz w:val="20"/>
                <w:szCs w:val="20"/>
              </w:rPr>
              <w:t>red+gen</w:t>
            </w:r>
            <w:proofErr w:type="spellEnd"/>
          </w:p>
        </w:tc>
        <w:tc>
          <w:tcPr>
            <w:tcW w:w="1622" w:type="dxa"/>
            <w:shd w:val="clear" w:color="auto" w:fill="auto"/>
          </w:tcPr>
          <w:p w:rsidR="00DE63F8" w:rsidRPr="00DE63F8" w:rsidRDefault="00DE63F8" w:rsidP="006A0303">
            <w:pPr>
              <w:spacing w:before="60" w:after="60" w:line="240" w:lineRule="auto"/>
              <w:rPr>
                <w:b/>
                <w:sz w:val="20"/>
                <w:szCs w:val="20"/>
              </w:rPr>
            </w:pPr>
            <w:r w:rsidRPr="00DE63F8">
              <w:rPr>
                <w:b/>
                <w:sz w:val="20"/>
                <w:szCs w:val="20"/>
              </w:rPr>
              <w:t>NZE</w:t>
            </w:r>
            <w:r w:rsidR="006A0303">
              <w:rPr>
                <w:b/>
                <w:sz w:val="20"/>
                <w:szCs w:val="20"/>
              </w:rPr>
              <w:t xml:space="preserve"> BEMS</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Space heating</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36</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31</w:t>
            </w:r>
          </w:p>
        </w:tc>
        <w:tc>
          <w:tcPr>
            <w:tcW w:w="1621"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29</w:t>
            </w:r>
          </w:p>
        </w:tc>
        <w:tc>
          <w:tcPr>
            <w:tcW w:w="1622"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27</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DHW</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29</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18</w:t>
            </w:r>
          </w:p>
        </w:tc>
        <w:tc>
          <w:tcPr>
            <w:tcW w:w="1621"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18</w:t>
            </w:r>
          </w:p>
        </w:tc>
        <w:tc>
          <w:tcPr>
            <w:tcW w:w="1622"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18</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Pumps, fans &amp; ventilation</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2</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2</w:t>
            </w:r>
          </w:p>
        </w:tc>
        <w:tc>
          <w:tcPr>
            <w:tcW w:w="1621"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2</w:t>
            </w:r>
          </w:p>
        </w:tc>
        <w:tc>
          <w:tcPr>
            <w:tcW w:w="1622"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2</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Regulated energy use</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68</w:t>
            </w:r>
          </w:p>
        </w:tc>
        <w:tc>
          <w:tcPr>
            <w:tcW w:w="1621"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51</w:t>
            </w:r>
          </w:p>
        </w:tc>
        <w:tc>
          <w:tcPr>
            <w:tcW w:w="1621"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49</w:t>
            </w:r>
          </w:p>
        </w:tc>
        <w:tc>
          <w:tcPr>
            <w:tcW w:w="1622"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47</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RE</w:t>
            </w:r>
          </w:p>
        </w:tc>
        <w:tc>
          <w:tcPr>
            <w:tcW w:w="1621"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0</w:t>
            </w:r>
          </w:p>
        </w:tc>
        <w:tc>
          <w:tcPr>
            <w:tcW w:w="1621"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w:t>
            </w:r>
            <w:r w:rsidR="0070410B">
              <w:rPr>
                <w:sz w:val="20"/>
                <w:szCs w:val="20"/>
              </w:rPr>
              <w:t>20</w:t>
            </w:r>
          </w:p>
        </w:tc>
        <w:tc>
          <w:tcPr>
            <w:tcW w:w="1621"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-5</w:t>
            </w:r>
            <w:r w:rsidR="006A0303">
              <w:rPr>
                <w:sz w:val="20"/>
                <w:szCs w:val="20"/>
              </w:rPr>
              <w:t>0</w:t>
            </w:r>
          </w:p>
        </w:tc>
        <w:tc>
          <w:tcPr>
            <w:tcW w:w="1622"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-5</w:t>
            </w:r>
            <w:r w:rsidR="006A0303">
              <w:rPr>
                <w:sz w:val="20"/>
                <w:szCs w:val="20"/>
              </w:rPr>
              <w:t>0</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Net regulated energy</w:t>
            </w:r>
          </w:p>
        </w:tc>
        <w:tc>
          <w:tcPr>
            <w:tcW w:w="1621" w:type="dxa"/>
            <w:shd w:val="clear" w:color="auto" w:fill="auto"/>
            <w:vAlign w:val="center"/>
          </w:tcPr>
          <w:p w:rsidR="00DE63F8" w:rsidRPr="008C7444" w:rsidRDefault="0070410B" w:rsidP="001D63DF">
            <w:pPr>
              <w:spacing w:before="60" w:after="60" w:line="240" w:lineRule="auto"/>
              <w:jc w:val="center"/>
              <w:rPr>
                <w:b/>
                <w:sz w:val="20"/>
                <w:szCs w:val="20"/>
              </w:rPr>
            </w:pPr>
            <w:r>
              <w:rPr>
                <w:b/>
                <w:sz w:val="20"/>
                <w:szCs w:val="20"/>
              </w:rPr>
              <w:t>68</w:t>
            </w:r>
          </w:p>
        </w:tc>
        <w:tc>
          <w:tcPr>
            <w:tcW w:w="1621" w:type="dxa"/>
            <w:shd w:val="clear" w:color="auto" w:fill="auto"/>
            <w:vAlign w:val="center"/>
          </w:tcPr>
          <w:p w:rsidR="00DE63F8" w:rsidRPr="008C7444" w:rsidRDefault="0070410B" w:rsidP="001D63DF">
            <w:pPr>
              <w:spacing w:before="60" w:after="60" w:line="240" w:lineRule="auto"/>
              <w:jc w:val="center"/>
              <w:rPr>
                <w:b/>
                <w:sz w:val="20"/>
                <w:szCs w:val="20"/>
              </w:rPr>
            </w:pPr>
            <w:r>
              <w:rPr>
                <w:b/>
                <w:sz w:val="20"/>
                <w:szCs w:val="20"/>
              </w:rPr>
              <w:t>31</w:t>
            </w:r>
          </w:p>
        </w:tc>
        <w:tc>
          <w:tcPr>
            <w:tcW w:w="1621" w:type="dxa"/>
            <w:shd w:val="clear" w:color="auto" w:fill="auto"/>
            <w:vAlign w:val="center"/>
          </w:tcPr>
          <w:p w:rsidR="00DE63F8" w:rsidRPr="008C7444" w:rsidRDefault="001351E4" w:rsidP="001D63DF">
            <w:pPr>
              <w:spacing w:before="60" w:after="60" w:line="240" w:lineRule="auto"/>
              <w:jc w:val="center"/>
              <w:rPr>
                <w:b/>
                <w:sz w:val="20"/>
                <w:szCs w:val="20"/>
              </w:rPr>
            </w:pPr>
            <w:r>
              <w:rPr>
                <w:b/>
                <w:sz w:val="20"/>
                <w:szCs w:val="20"/>
              </w:rPr>
              <w:t>-1</w:t>
            </w:r>
          </w:p>
        </w:tc>
        <w:tc>
          <w:tcPr>
            <w:tcW w:w="1622" w:type="dxa"/>
            <w:shd w:val="clear" w:color="auto" w:fill="auto"/>
            <w:vAlign w:val="center"/>
          </w:tcPr>
          <w:p w:rsidR="00DE63F8" w:rsidRPr="008C7444" w:rsidRDefault="00DE63F8" w:rsidP="001D63DF">
            <w:pPr>
              <w:spacing w:before="60" w:after="60" w:line="240" w:lineRule="auto"/>
              <w:jc w:val="center"/>
              <w:rPr>
                <w:b/>
                <w:sz w:val="20"/>
                <w:szCs w:val="20"/>
              </w:rPr>
            </w:pPr>
            <w:r w:rsidRPr="008C7444">
              <w:rPr>
                <w:b/>
                <w:sz w:val="20"/>
                <w:szCs w:val="20"/>
              </w:rPr>
              <w:t>-</w:t>
            </w:r>
            <w:r w:rsidR="001351E4">
              <w:rPr>
                <w:b/>
                <w:sz w:val="20"/>
                <w:szCs w:val="20"/>
              </w:rPr>
              <w:t>3</w:t>
            </w:r>
          </w:p>
        </w:tc>
      </w:tr>
      <w:tr w:rsidR="00DE63F8" w:rsidRPr="00D611C6" w:rsidTr="008C7444">
        <w:tc>
          <w:tcPr>
            <w:tcW w:w="9287" w:type="dxa"/>
            <w:gridSpan w:val="5"/>
            <w:shd w:val="clear" w:color="auto" w:fill="D9D9D9" w:themeFill="background1" w:themeFillShade="D9"/>
          </w:tcPr>
          <w:p w:rsidR="00DE63F8" w:rsidRPr="00DE63F8" w:rsidRDefault="00DE63F8" w:rsidP="001D63DF">
            <w:pPr>
              <w:spacing w:before="60" w:after="60" w:line="240" w:lineRule="auto"/>
              <w:jc w:val="center"/>
              <w:rPr>
                <w:sz w:val="20"/>
                <w:szCs w:val="20"/>
              </w:rPr>
            </w:pPr>
            <w:r w:rsidRPr="00DE63F8">
              <w:rPr>
                <w:b/>
                <w:sz w:val="20"/>
                <w:szCs w:val="20"/>
              </w:rPr>
              <w:t>DWELLING B (</w:t>
            </w:r>
            <w:r w:rsidR="001351E4">
              <w:rPr>
                <w:b/>
                <w:sz w:val="20"/>
                <w:szCs w:val="20"/>
              </w:rPr>
              <w:t>129.6</w:t>
            </w:r>
            <w:r w:rsidRPr="00DE63F8">
              <w:rPr>
                <w:b/>
                <w:sz w:val="20"/>
                <w:szCs w:val="20"/>
              </w:rPr>
              <w:t>m</w:t>
            </w:r>
            <w:r w:rsidRPr="00DE63F8">
              <w:rPr>
                <w:b/>
                <w:sz w:val="20"/>
                <w:szCs w:val="20"/>
                <w:vertAlign w:val="superscript"/>
              </w:rPr>
              <w:t>2</w:t>
            </w:r>
            <w:r w:rsidRPr="00DE63F8">
              <w:rPr>
                <w:b/>
                <w:sz w:val="20"/>
                <w:szCs w:val="20"/>
              </w:rPr>
              <w:t>)</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kWh/m</w:t>
            </w:r>
            <w:r w:rsidRPr="00DE63F8">
              <w:rPr>
                <w:b/>
                <w:sz w:val="20"/>
                <w:szCs w:val="20"/>
                <w:vertAlign w:val="superscript"/>
              </w:rPr>
              <w:t>2</w:t>
            </w:r>
            <w:r w:rsidRPr="00DE63F8">
              <w:rPr>
                <w:b/>
                <w:sz w:val="20"/>
                <w:szCs w:val="20"/>
              </w:rPr>
              <w:t>/</w:t>
            </w:r>
            <w:proofErr w:type="spellStart"/>
            <w:r w:rsidRPr="00DE63F8">
              <w:rPr>
                <w:b/>
                <w:sz w:val="20"/>
                <w:szCs w:val="20"/>
              </w:rPr>
              <w:t>yr</w:t>
            </w:r>
            <w:proofErr w:type="spellEnd"/>
          </w:p>
        </w:tc>
        <w:tc>
          <w:tcPr>
            <w:tcW w:w="1621" w:type="dxa"/>
            <w:shd w:val="clear" w:color="auto" w:fill="auto"/>
          </w:tcPr>
          <w:p w:rsidR="00DE63F8" w:rsidRPr="00DE63F8" w:rsidRDefault="00DE63F8" w:rsidP="001D63DF">
            <w:pPr>
              <w:spacing w:before="60" w:after="60" w:line="240" w:lineRule="auto"/>
              <w:jc w:val="center"/>
              <w:rPr>
                <w:b/>
                <w:sz w:val="20"/>
                <w:szCs w:val="20"/>
              </w:rPr>
            </w:pPr>
            <w:r w:rsidRPr="00DE63F8">
              <w:rPr>
                <w:b/>
                <w:sz w:val="20"/>
                <w:szCs w:val="20"/>
              </w:rPr>
              <w:t>Baseline</w:t>
            </w:r>
          </w:p>
        </w:tc>
        <w:tc>
          <w:tcPr>
            <w:tcW w:w="1621" w:type="dxa"/>
            <w:shd w:val="clear" w:color="auto" w:fill="auto"/>
          </w:tcPr>
          <w:p w:rsidR="00DE63F8" w:rsidRPr="00DE63F8" w:rsidRDefault="00DE63F8" w:rsidP="001D63DF">
            <w:pPr>
              <w:spacing w:before="60" w:after="60" w:line="240" w:lineRule="auto"/>
              <w:jc w:val="center"/>
              <w:rPr>
                <w:b/>
                <w:sz w:val="20"/>
                <w:szCs w:val="20"/>
              </w:rPr>
            </w:pPr>
            <w:r w:rsidRPr="00DE63F8">
              <w:rPr>
                <w:b/>
                <w:sz w:val="20"/>
                <w:szCs w:val="20"/>
              </w:rPr>
              <w:t>Baseline+</w:t>
            </w:r>
          </w:p>
        </w:tc>
        <w:tc>
          <w:tcPr>
            <w:tcW w:w="1621" w:type="dxa"/>
            <w:shd w:val="clear" w:color="auto" w:fill="auto"/>
          </w:tcPr>
          <w:p w:rsidR="00DE63F8" w:rsidRPr="00DE63F8" w:rsidRDefault="00DE63F8" w:rsidP="001D63DF">
            <w:pPr>
              <w:spacing w:before="60" w:after="60" w:line="240" w:lineRule="auto"/>
              <w:jc w:val="center"/>
              <w:rPr>
                <w:b/>
                <w:sz w:val="20"/>
                <w:szCs w:val="20"/>
              </w:rPr>
            </w:pPr>
            <w:r w:rsidRPr="00DE63F8">
              <w:rPr>
                <w:b/>
                <w:sz w:val="20"/>
                <w:szCs w:val="20"/>
              </w:rPr>
              <w:t xml:space="preserve">NZE </w:t>
            </w:r>
            <w:proofErr w:type="spellStart"/>
            <w:r w:rsidRPr="00DE63F8">
              <w:rPr>
                <w:b/>
                <w:sz w:val="20"/>
                <w:szCs w:val="20"/>
              </w:rPr>
              <w:t>red+gen</w:t>
            </w:r>
            <w:proofErr w:type="spellEnd"/>
          </w:p>
        </w:tc>
        <w:tc>
          <w:tcPr>
            <w:tcW w:w="1622" w:type="dxa"/>
            <w:shd w:val="clear" w:color="auto" w:fill="auto"/>
          </w:tcPr>
          <w:p w:rsidR="00DE63F8" w:rsidRPr="00DE63F8" w:rsidRDefault="00DE63F8" w:rsidP="001D63DF">
            <w:pPr>
              <w:spacing w:before="60" w:after="60" w:line="240" w:lineRule="auto"/>
              <w:jc w:val="center"/>
              <w:rPr>
                <w:b/>
                <w:sz w:val="20"/>
                <w:szCs w:val="20"/>
              </w:rPr>
            </w:pPr>
            <w:r w:rsidRPr="00DE63F8">
              <w:rPr>
                <w:b/>
                <w:sz w:val="20"/>
                <w:szCs w:val="20"/>
              </w:rPr>
              <w:t>NZE</w:t>
            </w:r>
            <w:r w:rsidR="006A0303">
              <w:rPr>
                <w:b/>
                <w:sz w:val="20"/>
                <w:szCs w:val="20"/>
              </w:rPr>
              <w:t xml:space="preserve"> BEMS</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Space heating</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39</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33</w:t>
            </w:r>
          </w:p>
        </w:tc>
        <w:tc>
          <w:tcPr>
            <w:tcW w:w="1621"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31</w:t>
            </w:r>
          </w:p>
        </w:tc>
        <w:tc>
          <w:tcPr>
            <w:tcW w:w="1622"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29</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DHW</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20</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12</w:t>
            </w:r>
          </w:p>
        </w:tc>
        <w:tc>
          <w:tcPr>
            <w:tcW w:w="1621"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12</w:t>
            </w:r>
          </w:p>
        </w:tc>
        <w:tc>
          <w:tcPr>
            <w:tcW w:w="1622"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12</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Pumps, fans &amp; ventilation</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2</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2</w:t>
            </w:r>
          </w:p>
        </w:tc>
        <w:tc>
          <w:tcPr>
            <w:tcW w:w="1621"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2</w:t>
            </w:r>
          </w:p>
        </w:tc>
        <w:tc>
          <w:tcPr>
            <w:tcW w:w="1622"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2</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Regulated energy use</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61</w:t>
            </w:r>
          </w:p>
        </w:tc>
        <w:tc>
          <w:tcPr>
            <w:tcW w:w="1621" w:type="dxa"/>
            <w:shd w:val="clear" w:color="auto" w:fill="auto"/>
            <w:vAlign w:val="center"/>
          </w:tcPr>
          <w:p w:rsidR="00DE63F8" w:rsidRPr="00DE63F8" w:rsidRDefault="0070410B" w:rsidP="001D63DF">
            <w:pPr>
              <w:spacing w:before="60" w:after="60" w:line="240" w:lineRule="auto"/>
              <w:jc w:val="center"/>
              <w:rPr>
                <w:sz w:val="20"/>
                <w:szCs w:val="20"/>
              </w:rPr>
            </w:pPr>
            <w:r>
              <w:rPr>
                <w:sz w:val="20"/>
                <w:szCs w:val="20"/>
              </w:rPr>
              <w:t>47</w:t>
            </w:r>
          </w:p>
        </w:tc>
        <w:tc>
          <w:tcPr>
            <w:tcW w:w="1621" w:type="dxa"/>
            <w:shd w:val="clear" w:color="auto" w:fill="auto"/>
            <w:vAlign w:val="center"/>
          </w:tcPr>
          <w:p w:rsidR="00DE63F8" w:rsidRPr="00DE63F8" w:rsidRDefault="001351E4" w:rsidP="001D63DF">
            <w:pPr>
              <w:spacing w:before="60" w:after="60" w:line="240" w:lineRule="auto"/>
              <w:jc w:val="center"/>
              <w:rPr>
                <w:sz w:val="20"/>
                <w:szCs w:val="20"/>
              </w:rPr>
            </w:pPr>
            <w:r>
              <w:rPr>
                <w:sz w:val="20"/>
                <w:szCs w:val="20"/>
              </w:rPr>
              <w:t>45</w:t>
            </w:r>
          </w:p>
        </w:tc>
        <w:tc>
          <w:tcPr>
            <w:tcW w:w="1622"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4</w:t>
            </w:r>
            <w:r w:rsidR="001351E4">
              <w:rPr>
                <w:sz w:val="20"/>
                <w:szCs w:val="20"/>
              </w:rPr>
              <w:t>3</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RE</w:t>
            </w:r>
          </w:p>
        </w:tc>
        <w:tc>
          <w:tcPr>
            <w:tcW w:w="1621"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0</w:t>
            </w:r>
          </w:p>
        </w:tc>
        <w:tc>
          <w:tcPr>
            <w:tcW w:w="1621"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w:t>
            </w:r>
            <w:r w:rsidR="0070410B">
              <w:rPr>
                <w:sz w:val="20"/>
                <w:szCs w:val="20"/>
              </w:rPr>
              <w:t>13</w:t>
            </w:r>
          </w:p>
        </w:tc>
        <w:tc>
          <w:tcPr>
            <w:tcW w:w="1621"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-5</w:t>
            </w:r>
            <w:r w:rsidR="006A0303">
              <w:rPr>
                <w:sz w:val="20"/>
                <w:szCs w:val="20"/>
              </w:rPr>
              <w:t>0</w:t>
            </w:r>
          </w:p>
        </w:tc>
        <w:tc>
          <w:tcPr>
            <w:tcW w:w="1622" w:type="dxa"/>
            <w:shd w:val="clear" w:color="auto" w:fill="auto"/>
            <w:vAlign w:val="center"/>
          </w:tcPr>
          <w:p w:rsidR="00DE63F8" w:rsidRPr="00DE63F8" w:rsidRDefault="00DE63F8" w:rsidP="001D63DF">
            <w:pPr>
              <w:spacing w:before="60" w:after="60" w:line="240" w:lineRule="auto"/>
              <w:jc w:val="center"/>
              <w:rPr>
                <w:sz w:val="20"/>
                <w:szCs w:val="20"/>
              </w:rPr>
            </w:pPr>
            <w:r w:rsidRPr="00DE63F8">
              <w:rPr>
                <w:sz w:val="20"/>
                <w:szCs w:val="20"/>
              </w:rPr>
              <w:t>-5</w:t>
            </w:r>
            <w:r w:rsidR="006A0303">
              <w:rPr>
                <w:sz w:val="20"/>
                <w:szCs w:val="20"/>
              </w:rPr>
              <w:t>0</w:t>
            </w:r>
          </w:p>
        </w:tc>
      </w:tr>
      <w:tr w:rsidR="00DE63F8" w:rsidRPr="00D611C6" w:rsidTr="008C7444">
        <w:tc>
          <w:tcPr>
            <w:tcW w:w="2802" w:type="dxa"/>
            <w:shd w:val="clear" w:color="auto" w:fill="auto"/>
          </w:tcPr>
          <w:p w:rsidR="00DE63F8" w:rsidRPr="00DE63F8" w:rsidRDefault="00DE63F8" w:rsidP="00DE63F8">
            <w:pPr>
              <w:spacing w:before="60" w:after="60" w:line="240" w:lineRule="auto"/>
              <w:rPr>
                <w:b/>
                <w:sz w:val="20"/>
                <w:szCs w:val="20"/>
              </w:rPr>
            </w:pPr>
            <w:r w:rsidRPr="00DE63F8">
              <w:rPr>
                <w:b/>
                <w:sz w:val="20"/>
                <w:szCs w:val="20"/>
              </w:rPr>
              <w:t>Net regulated energy</w:t>
            </w:r>
          </w:p>
        </w:tc>
        <w:tc>
          <w:tcPr>
            <w:tcW w:w="1621" w:type="dxa"/>
            <w:shd w:val="clear" w:color="auto" w:fill="auto"/>
            <w:vAlign w:val="center"/>
          </w:tcPr>
          <w:p w:rsidR="00DE63F8" w:rsidRPr="008C7444" w:rsidRDefault="0070410B" w:rsidP="001D63DF">
            <w:pPr>
              <w:spacing w:before="60" w:after="60" w:line="240" w:lineRule="auto"/>
              <w:jc w:val="center"/>
              <w:rPr>
                <w:b/>
                <w:sz w:val="20"/>
                <w:szCs w:val="20"/>
              </w:rPr>
            </w:pPr>
            <w:r>
              <w:rPr>
                <w:b/>
                <w:sz w:val="20"/>
                <w:szCs w:val="20"/>
              </w:rPr>
              <w:t>61</w:t>
            </w:r>
          </w:p>
        </w:tc>
        <w:tc>
          <w:tcPr>
            <w:tcW w:w="1621" w:type="dxa"/>
            <w:shd w:val="clear" w:color="auto" w:fill="auto"/>
            <w:vAlign w:val="center"/>
          </w:tcPr>
          <w:p w:rsidR="00DE63F8" w:rsidRPr="008C7444" w:rsidRDefault="0070410B" w:rsidP="001D63DF">
            <w:pPr>
              <w:spacing w:before="60" w:after="60" w:line="240" w:lineRule="auto"/>
              <w:jc w:val="center"/>
              <w:rPr>
                <w:b/>
                <w:sz w:val="20"/>
                <w:szCs w:val="20"/>
              </w:rPr>
            </w:pPr>
            <w:r>
              <w:rPr>
                <w:b/>
                <w:sz w:val="20"/>
                <w:szCs w:val="20"/>
              </w:rPr>
              <w:t>34</w:t>
            </w:r>
          </w:p>
        </w:tc>
        <w:tc>
          <w:tcPr>
            <w:tcW w:w="1621" w:type="dxa"/>
            <w:shd w:val="clear" w:color="auto" w:fill="auto"/>
            <w:vAlign w:val="center"/>
          </w:tcPr>
          <w:p w:rsidR="00DE63F8" w:rsidRPr="008C7444" w:rsidRDefault="00DE63F8" w:rsidP="001D63DF">
            <w:pPr>
              <w:spacing w:before="60" w:after="60" w:line="240" w:lineRule="auto"/>
              <w:jc w:val="center"/>
              <w:rPr>
                <w:b/>
                <w:sz w:val="20"/>
                <w:szCs w:val="20"/>
              </w:rPr>
            </w:pPr>
            <w:r w:rsidRPr="008C7444">
              <w:rPr>
                <w:b/>
                <w:sz w:val="20"/>
                <w:szCs w:val="20"/>
              </w:rPr>
              <w:t>-</w:t>
            </w:r>
            <w:r w:rsidR="001351E4">
              <w:rPr>
                <w:b/>
                <w:sz w:val="20"/>
                <w:szCs w:val="20"/>
              </w:rPr>
              <w:t>5</w:t>
            </w:r>
          </w:p>
        </w:tc>
        <w:tc>
          <w:tcPr>
            <w:tcW w:w="1622" w:type="dxa"/>
            <w:shd w:val="clear" w:color="auto" w:fill="auto"/>
            <w:vAlign w:val="center"/>
          </w:tcPr>
          <w:p w:rsidR="00DE63F8" w:rsidRPr="008C7444" w:rsidRDefault="00DE63F8" w:rsidP="001D63DF">
            <w:pPr>
              <w:spacing w:before="60" w:after="60" w:line="240" w:lineRule="auto"/>
              <w:jc w:val="center"/>
              <w:rPr>
                <w:b/>
                <w:sz w:val="20"/>
                <w:szCs w:val="20"/>
              </w:rPr>
            </w:pPr>
            <w:r w:rsidRPr="008C7444">
              <w:rPr>
                <w:b/>
                <w:sz w:val="20"/>
                <w:szCs w:val="20"/>
              </w:rPr>
              <w:t>-</w:t>
            </w:r>
            <w:r w:rsidR="001351E4">
              <w:rPr>
                <w:b/>
                <w:sz w:val="20"/>
                <w:szCs w:val="20"/>
              </w:rPr>
              <w:t>7</w:t>
            </w:r>
          </w:p>
        </w:tc>
      </w:tr>
    </w:tbl>
    <w:p w:rsidR="002F7418" w:rsidRDefault="002F7418" w:rsidP="00DE63F8"/>
    <w:p w:rsidR="00DE63F8" w:rsidRDefault="00A725D1" w:rsidP="00DE63F8">
      <w:r>
        <w:rPr>
          <w:noProof/>
          <w:lang w:eastAsia="en-GB"/>
        </w:rPr>
        <w:drawing>
          <wp:inline distT="0" distB="0" distL="0" distR="0" wp14:anchorId="3C0F50E3" wp14:editId="329ED594">
            <wp:extent cx="5731510" cy="2436050"/>
            <wp:effectExtent l="0" t="0" r="2540" b="254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713DF" w:rsidRDefault="006713DF" w:rsidP="00DE63F8">
      <w:r>
        <w:rPr>
          <w:b/>
        </w:rPr>
        <w:t>Figure 4</w:t>
      </w:r>
      <w:r w:rsidRPr="006713DF">
        <w:t xml:space="preserve"> </w:t>
      </w:r>
      <w:r w:rsidR="00974A1F">
        <w:t xml:space="preserve">Final net zero energy modelling results for the </w:t>
      </w:r>
      <w:r w:rsidR="00974A1F" w:rsidRPr="006713DF">
        <w:t>NZE model</w:t>
      </w:r>
    </w:p>
    <w:p w:rsidR="008C7444" w:rsidRPr="001D63DF" w:rsidRDefault="00905B11" w:rsidP="008C7444">
      <w:pPr>
        <w:pStyle w:val="Heading2"/>
        <w:rPr>
          <w:i/>
        </w:rPr>
      </w:pPr>
      <w:r w:rsidRPr="001D63DF">
        <w:rPr>
          <w:i/>
        </w:rPr>
        <w:t xml:space="preserve">Performance in a </w:t>
      </w:r>
      <w:r w:rsidR="005A1849">
        <w:rPr>
          <w:i/>
        </w:rPr>
        <w:t>warming</w:t>
      </w:r>
      <w:r w:rsidR="005A1849" w:rsidRPr="001D63DF">
        <w:rPr>
          <w:i/>
        </w:rPr>
        <w:t xml:space="preserve"> </w:t>
      </w:r>
      <w:r w:rsidRPr="001D63DF">
        <w:rPr>
          <w:i/>
        </w:rPr>
        <w:t>climate</w:t>
      </w:r>
    </w:p>
    <w:p w:rsidR="00B27E1D" w:rsidRPr="000C5856" w:rsidRDefault="008C7444">
      <w:pPr>
        <w:rPr>
          <w:rFonts w:cs="Arial"/>
          <w:color w:val="FF0000"/>
        </w:rPr>
      </w:pPr>
      <w:r w:rsidRPr="008C7444">
        <w:rPr>
          <w:rFonts w:cs="Arial"/>
        </w:rPr>
        <w:t>Following climate change simulations, tabl</w:t>
      </w:r>
      <w:r w:rsidR="00402B8A">
        <w:rPr>
          <w:rFonts w:cs="Arial"/>
        </w:rPr>
        <w:t xml:space="preserve">e </w:t>
      </w:r>
      <w:r w:rsidR="00FC67AD">
        <w:rPr>
          <w:rFonts w:cs="Arial"/>
        </w:rPr>
        <w:t>7</w:t>
      </w:r>
      <w:r w:rsidRPr="008C7444">
        <w:rPr>
          <w:rFonts w:cs="Arial"/>
        </w:rPr>
        <w:t xml:space="preserve"> indicates the annual energy use (normalised by dwelling area) for </w:t>
      </w:r>
      <w:r w:rsidR="00402B8A">
        <w:rPr>
          <w:rFonts w:cs="Arial"/>
        </w:rPr>
        <w:t>the</w:t>
      </w:r>
      <w:r w:rsidRPr="008C7444">
        <w:rPr>
          <w:rFonts w:cs="Arial"/>
        </w:rPr>
        <w:t xml:space="preserve"> dwelling</w:t>
      </w:r>
      <w:r w:rsidR="00402B8A">
        <w:rPr>
          <w:rFonts w:cs="Arial"/>
        </w:rPr>
        <w:t>s</w:t>
      </w:r>
      <w:r w:rsidRPr="008C7444">
        <w:rPr>
          <w:rFonts w:cs="Arial"/>
        </w:rPr>
        <w:t xml:space="preserve">. By 2080s both </w:t>
      </w:r>
      <w:r w:rsidR="00F37286">
        <w:rPr>
          <w:rFonts w:cs="Arial"/>
        </w:rPr>
        <w:t xml:space="preserve">case study </w:t>
      </w:r>
      <w:r w:rsidRPr="008C7444">
        <w:rPr>
          <w:rFonts w:cs="Arial"/>
        </w:rPr>
        <w:t>dwellings are projected to experience a reduction in</w:t>
      </w:r>
      <w:r w:rsidR="00905B11">
        <w:rPr>
          <w:rFonts w:cs="Arial"/>
        </w:rPr>
        <w:t xml:space="preserve"> regulated energy </w:t>
      </w:r>
      <w:r w:rsidRPr="008C7444">
        <w:rPr>
          <w:rFonts w:cs="Arial"/>
        </w:rPr>
        <w:t xml:space="preserve">consumption </w:t>
      </w:r>
      <w:proofErr w:type="gramStart"/>
      <w:r w:rsidR="00CE3BBB">
        <w:rPr>
          <w:rFonts w:cs="Arial"/>
        </w:rPr>
        <w:t>(11</w:t>
      </w:r>
      <w:r w:rsidR="00CE3BBB" w:rsidRPr="008C7444">
        <w:rPr>
          <w:rFonts w:cs="Arial"/>
        </w:rPr>
        <w:t xml:space="preserve"> kWh/m</w:t>
      </w:r>
      <w:r w:rsidR="00CE3BBB" w:rsidRPr="008C7444">
        <w:rPr>
          <w:rFonts w:cs="Arial"/>
          <w:vertAlign w:val="superscript"/>
        </w:rPr>
        <w:t>2</w:t>
      </w:r>
      <w:r w:rsidR="00CE3BBB" w:rsidRPr="008C7444">
        <w:rPr>
          <w:rFonts w:cs="Arial"/>
        </w:rPr>
        <w:t>/</w:t>
      </w:r>
      <w:proofErr w:type="spellStart"/>
      <w:r w:rsidR="00CE3BBB" w:rsidRPr="008C7444">
        <w:rPr>
          <w:rFonts w:cs="Arial"/>
        </w:rPr>
        <w:t>yr</w:t>
      </w:r>
      <w:proofErr w:type="spellEnd"/>
      <w:r w:rsidR="00CE3BBB" w:rsidRPr="008C7444">
        <w:rPr>
          <w:rFonts w:cs="Arial"/>
        </w:rPr>
        <w:t>)</w:t>
      </w:r>
      <w:proofErr w:type="gramEnd"/>
      <w:r w:rsidR="00CE3BBB" w:rsidRPr="008C7444">
        <w:rPr>
          <w:rFonts w:cs="Arial"/>
        </w:rPr>
        <w:t xml:space="preserve"> </w:t>
      </w:r>
      <w:r w:rsidRPr="008C7444">
        <w:rPr>
          <w:rFonts w:cs="Arial"/>
        </w:rPr>
        <w:t>and a small increase in renewable energy generation (2 kWh/m</w:t>
      </w:r>
      <w:r w:rsidRPr="008C7444">
        <w:rPr>
          <w:rFonts w:cs="Arial"/>
          <w:vertAlign w:val="superscript"/>
        </w:rPr>
        <w:t>2</w:t>
      </w:r>
      <w:r w:rsidRPr="008C7444">
        <w:rPr>
          <w:rFonts w:cs="Arial"/>
        </w:rPr>
        <w:t>/</w:t>
      </w:r>
      <w:proofErr w:type="spellStart"/>
      <w:r w:rsidRPr="008C7444">
        <w:rPr>
          <w:rFonts w:cs="Arial"/>
        </w:rPr>
        <w:t>yr</w:t>
      </w:r>
      <w:proofErr w:type="spellEnd"/>
      <w:r w:rsidRPr="008C7444">
        <w:rPr>
          <w:rFonts w:cs="Arial"/>
        </w:rPr>
        <w:t xml:space="preserve">). </w:t>
      </w:r>
      <w:bookmarkStart w:id="1" w:name="_Toc440371257"/>
      <w:bookmarkStart w:id="2" w:name="_Toc450313077"/>
      <w:r w:rsidR="00B27C00">
        <w:rPr>
          <w:rFonts w:cs="Arial"/>
        </w:rPr>
        <w:t>Figure 5 graphically breaks down the energy end use for each climate projection</w:t>
      </w:r>
      <w:r w:rsidR="00E213DD">
        <w:rPr>
          <w:rFonts w:cs="Arial"/>
        </w:rPr>
        <w:t xml:space="preserve"> for 2030s, 2050s and 2080s under a high emissions scenario and 50%</w:t>
      </w:r>
      <w:r w:rsidR="00B27C00">
        <w:rPr>
          <w:rFonts w:cs="Arial"/>
        </w:rPr>
        <w:t>.</w:t>
      </w:r>
      <w:bookmarkStart w:id="3" w:name="_Toc452628903"/>
      <w:r w:rsidR="00B27E1D">
        <w:rPr>
          <w:b/>
        </w:rPr>
        <w:br w:type="page"/>
      </w:r>
    </w:p>
    <w:p w:rsidR="008C7444" w:rsidRPr="008C7444" w:rsidRDefault="008C7444" w:rsidP="008C7444">
      <w:pPr>
        <w:spacing w:line="360" w:lineRule="auto"/>
        <w:rPr>
          <w:rFonts w:cs="Arial"/>
          <w:i/>
        </w:rPr>
      </w:pPr>
      <w:r w:rsidRPr="008C7444">
        <w:rPr>
          <w:b/>
        </w:rPr>
        <w:lastRenderedPageBreak/>
        <w:t xml:space="preserve">Table </w:t>
      </w:r>
      <w:r w:rsidR="00FC67AD">
        <w:rPr>
          <w:b/>
        </w:rPr>
        <w:t>7</w:t>
      </w:r>
      <w:r w:rsidRPr="008C7444">
        <w:t xml:space="preserve"> Annual energy consumption and generation </w:t>
      </w:r>
      <w:r w:rsidR="00974A1F">
        <w:t>normalised by</w:t>
      </w:r>
      <w:r w:rsidR="00974A1F" w:rsidRPr="008C7444">
        <w:t xml:space="preserve"> </w:t>
      </w:r>
      <w:r w:rsidRPr="008C7444">
        <w:t>dwelling area</w:t>
      </w:r>
      <w:bookmarkEnd w:id="1"/>
      <w:bookmarkEnd w:id="2"/>
      <w:bookmarkEnd w:id="3"/>
      <w:r w:rsidR="00E213DD">
        <w:t xml:space="preserve"> </w:t>
      </w:r>
      <w:r w:rsidR="00974A1F">
        <w:t xml:space="preserve">across </w:t>
      </w:r>
      <w:r w:rsidR="00E213DD">
        <w:t xml:space="preserve">different climate periods </w:t>
      </w:r>
    </w:p>
    <w:tbl>
      <w:tblPr>
        <w:tblStyle w:val="TableGrid"/>
        <w:tblW w:w="9214" w:type="dxa"/>
        <w:tblLayout w:type="fixed"/>
        <w:tblLook w:val="04A0" w:firstRow="1" w:lastRow="0" w:firstColumn="1" w:lastColumn="0" w:noHBand="0" w:noVBand="1"/>
      </w:tblPr>
      <w:tblGrid>
        <w:gridCol w:w="1559"/>
        <w:gridCol w:w="992"/>
        <w:gridCol w:w="851"/>
        <w:gridCol w:w="850"/>
        <w:gridCol w:w="1134"/>
        <w:gridCol w:w="993"/>
        <w:gridCol w:w="850"/>
        <w:gridCol w:w="851"/>
        <w:gridCol w:w="1134"/>
      </w:tblGrid>
      <w:tr w:rsidR="008C7444" w:rsidTr="00402B8A">
        <w:tc>
          <w:tcPr>
            <w:tcW w:w="1559" w:type="dxa"/>
            <w:shd w:val="clear" w:color="auto" w:fill="F2F2F2" w:themeFill="background1" w:themeFillShade="F2"/>
          </w:tcPr>
          <w:p w:rsidR="008C7444" w:rsidRPr="000D7A2A" w:rsidRDefault="008C7444" w:rsidP="00402B8A">
            <w:pPr>
              <w:rPr>
                <w:rFonts w:cs="Arial"/>
                <w:b/>
                <w:lang w:val="en-GB"/>
              </w:rPr>
            </w:pPr>
          </w:p>
        </w:tc>
        <w:tc>
          <w:tcPr>
            <w:tcW w:w="3827" w:type="dxa"/>
            <w:gridSpan w:val="4"/>
            <w:tcBorders>
              <w:right w:val="single" w:sz="12" w:space="0" w:color="auto"/>
            </w:tcBorders>
            <w:shd w:val="clear" w:color="auto" w:fill="F2F2F2" w:themeFill="background1" w:themeFillShade="F2"/>
          </w:tcPr>
          <w:p w:rsidR="008C7444" w:rsidRDefault="008C7444" w:rsidP="00402B8A">
            <w:pPr>
              <w:jc w:val="right"/>
              <w:rPr>
                <w:rFonts w:cs="Arial"/>
                <w:b/>
                <w:lang w:val="en-GB"/>
              </w:rPr>
            </w:pPr>
            <w:r>
              <w:rPr>
                <w:rFonts w:cs="Arial"/>
                <w:b/>
                <w:lang w:val="en-GB"/>
              </w:rPr>
              <w:t xml:space="preserve">Dwelling </w:t>
            </w:r>
            <w:r w:rsidR="00402B8A">
              <w:rPr>
                <w:rFonts w:cs="Arial"/>
                <w:b/>
                <w:lang w:val="en-GB"/>
              </w:rPr>
              <w:t>A</w:t>
            </w:r>
          </w:p>
        </w:tc>
        <w:tc>
          <w:tcPr>
            <w:tcW w:w="3828" w:type="dxa"/>
            <w:gridSpan w:val="4"/>
            <w:tcBorders>
              <w:left w:val="single" w:sz="12" w:space="0" w:color="auto"/>
            </w:tcBorders>
            <w:shd w:val="clear" w:color="auto" w:fill="F2F2F2" w:themeFill="background1" w:themeFillShade="F2"/>
          </w:tcPr>
          <w:p w:rsidR="008C7444" w:rsidRDefault="008C7444" w:rsidP="00402B8A">
            <w:pPr>
              <w:jc w:val="right"/>
              <w:rPr>
                <w:rFonts w:cs="Arial"/>
                <w:b/>
                <w:lang w:val="en-GB"/>
              </w:rPr>
            </w:pPr>
            <w:r>
              <w:rPr>
                <w:rFonts w:cs="Arial"/>
                <w:b/>
                <w:lang w:val="en-GB"/>
              </w:rPr>
              <w:t xml:space="preserve">Dwelling </w:t>
            </w:r>
            <w:r w:rsidR="00402B8A">
              <w:rPr>
                <w:rFonts w:cs="Arial"/>
                <w:b/>
                <w:lang w:val="en-GB"/>
              </w:rPr>
              <w:t>B</w:t>
            </w:r>
          </w:p>
        </w:tc>
      </w:tr>
      <w:tr w:rsidR="00402B8A" w:rsidTr="00402B8A">
        <w:tc>
          <w:tcPr>
            <w:tcW w:w="1559" w:type="dxa"/>
            <w:shd w:val="clear" w:color="auto" w:fill="F2F2F2" w:themeFill="background1" w:themeFillShade="F2"/>
          </w:tcPr>
          <w:p w:rsidR="00402B8A" w:rsidRPr="000D7A2A" w:rsidRDefault="00402B8A" w:rsidP="00402B8A">
            <w:pPr>
              <w:rPr>
                <w:rFonts w:cs="Arial"/>
                <w:b/>
                <w:lang w:val="en-GB"/>
              </w:rPr>
            </w:pPr>
            <w:r>
              <w:rPr>
                <w:rFonts w:cs="Arial"/>
                <w:b/>
                <w:lang w:val="en-GB"/>
              </w:rPr>
              <w:t xml:space="preserve">Final NZE </w:t>
            </w:r>
            <w:r>
              <w:rPr>
                <w:rFonts w:cs="Arial"/>
                <w:lang w:val="en-GB"/>
              </w:rPr>
              <w:t>(kWh/m</w:t>
            </w:r>
            <w:r>
              <w:rPr>
                <w:rFonts w:cs="Arial"/>
                <w:vertAlign w:val="superscript"/>
                <w:lang w:val="en-GB"/>
              </w:rPr>
              <w:t>2</w:t>
            </w:r>
            <w:r>
              <w:rPr>
                <w:rFonts w:cs="Arial"/>
                <w:lang w:val="en-GB"/>
              </w:rPr>
              <w:t>/</w:t>
            </w:r>
            <w:proofErr w:type="spellStart"/>
            <w:r>
              <w:rPr>
                <w:rFonts w:cs="Arial"/>
                <w:lang w:val="en-GB"/>
              </w:rPr>
              <w:t>yr</w:t>
            </w:r>
            <w:proofErr w:type="spellEnd"/>
            <w:r>
              <w:rPr>
                <w:rFonts w:cs="Arial"/>
                <w:lang w:val="en-GB"/>
              </w:rPr>
              <w:t>)</w:t>
            </w:r>
          </w:p>
        </w:tc>
        <w:tc>
          <w:tcPr>
            <w:tcW w:w="992" w:type="dxa"/>
            <w:shd w:val="clear" w:color="auto" w:fill="F2F2F2" w:themeFill="background1" w:themeFillShade="F2"/>
          </w:tcPr>
          <w:p w:rsidR="00402B8A" w:rsidRPr="000D7A2A" w:rsidRDefault="00402B8A" w:rsidP="00402B8A">
            <w:pPr>
              <w:jc w:val="right"/>
              <w:rPr>
                <w:rFonts w:cs="Arial"/>
                <w:b/>
                <w:lang w:val="en-GB"/>
              </w:rPr>
            </w:pPr>
            <w:r>
              <w:rPr>
                <w:rFonts w:cs="Arial"/>
                <w:b/>
                <w:lang w:val="en-GB"/>
              </w:rPr>
              <w:t>Reg. energy</w:t>
            </w:r>
          </w:p>
        </w:tc>
        <w:tc>
          <w:tcPr>
            <w:tcW w:w="851" w:type="dxa"/>
            <w:shd w:val="clear" w:color="auto" w:fill="F2F2F2" w:themeFill="background1" w:themeFillShade="F2"/>
          </w:tcPr>
          <w:p w:rsidR="00402B8A" w:rsidRPr="000D7A2A" w:rsidRDefault="00402B8A" w:rsidP="00402B8A">
            <w:pPr>
              <w:jc w:val="right"/>
              <w:rPr>
                <w:rFonts w:cs="Arial"/>
                <w:b/>
                <w:lang w:val="en-GB"/>
              </w:rPr>
            </w:pPr>
            <w:r>
              <w:rPr>
                <w:rFonts w:cs="Arial"/>
                <w:b/>
                <w:lang w:val="en-GB"/>
              </w:rPr>
              <w:t>Total energy</w:t>
            </w:r>
          </w:p>
        </w:tc>
        <w:tc>
          <w:tcPr>
            <w:tcW w:w="850" w:type="dxa"/>
            <w:tcBorders>
              <w:right w:val="single" w:sz="4" w:space="0" w:color="auto"/>
            </w:tcBorders>
            <w:shd w:val="clear" w:color="auto" w:fill="F2F2F2" w:themeFill="background1" w:themeFillShade="F2"/>
          </w:tcPr>
          <w:p w:rsidR="00402B8A" w:rsidRPr="000D7A2A" w:rsidRDefault="00402B8A" w:rsidP="00402B8A">
            <w:pPr>
              <w:jc w:val="right"/>
              <w:rPr>
                <w:rFonts w:cs="Arial"/>
                <w:b/>
                <w:lang w:val="en-GB"/>
              </w:rPr>
            </w:pPr>
            <w:r>
              <w:rPr>
                <w:rFonts w:cs="Arial"/>
                <w:b/>
                <w:lang w:val="en-GB"/>
              </w:rPr>
              <w:t>Energy prod.</w:t>
            </w:r>
          </w:p>
        </w:tc>
        <w:tc>
          <w:tcPr>
            <w:tcW w:w="1134" w:type="dxa"/>
            <w:tcBorders>
              <w:left w:val="single" w:sz="4" w:space="0" w:color="auto"/>
              <w:right w:val="single" w:sz="12" w:space="0" w:color="auto"/>
            </w:tcBorders>
            <w:shd w:val="clear" w:color="auto" w:fill="F2F2F2" w:themeFill="background1" w:themeFillShade="F2"/>
          </w:tcPr>
          <w:p w:rsidR="00402B8A" w:rsidRDefault="00402B8A" w:rsidP="00402B8A">
            <w:pPr>
              <w:jc w:val="right"/>
              <w:rPr>
                <w:rFonts w:cs="Arial"/>
                <w:b/>
                <w:lang w:val="en-GB"/>
              </w:rPr>
            </w:pPr>
            <w:r>
              <w:rPr>
                <w:rFonts w:cs="Arial"/>
                <w:b/>
                <w:lang w:val="en-GB"/>
              </w:rPr>
              <w:t>Net reg.</w:t>
            </w:r>
          </w:p>
        </w:tc>
        <w:tc>
          <w:tcPr>
            <w:tcW w:w="993" w:type="dxa"/>
            <w:tcBorders>
              <w:left w:val="single" w:sz="12" w:space="0" w:color="auto"/>
            </w:tcBorders>
            <w:shd w:val="clear" w:color="auto" w:fill="F2F2F2" w:themeFill="background1" w:themeFillShade="F2"/>
          </w:tcPr>
          <w:p w:rsidR="00402B8A" w:rsidRPr="000D7A2A" w:rsidRDefault="00402B8A" w:rsidP="00402B8A">
            <w:pPr>
              <w:jc w:val="right"/>
              <w:rPr>
                <w:rFonts w:cs="Arial"/>
                <w:b/>
                <w:lang w:val="en-GB"/>
              </w:rPr>
            </w:pPr>
            <w:r>
              <w:rPr>
                <w:rFonts w:cs="Arial"/>
                <w:b/>
                <w:lang w:val="en-GB"/>
              </w:rPr>
              <w:t>Reg. energy</w:t>
            </w:r>
          </w:p>
        </w:tc>
        <w:tc>
          <w:tcPr>
            <w:tcW w:w="850" w:type="dxa"/>
            <w:shd w:val="clear" w:color="auto" w:fill="F2F2F2" w:themeFill="background1" w:themeFillShade="F2"/>
          </w:tcPr>
          <w:p w:rsidR="00402B8A" w:rsidRPr="000D7A2A" w:rsidRDefault="00402B8A" w:rsidP="00402B8A">
            <w:pPr>
              <w:jc w:val="right"/>
              <w:rPr>
                <w:rFonts w:cs="Arial"/>
                <w:b/>
                <w:lang w:val="en-GB"/>
              </w:rPr>
            </w:pPr>
            <w:r>
              <w:rPr>
                <w:rFonts w:cs="Arial"/>
                <w:b/>
                <w:lang w:val="en-GB"/>
              </w:rPr>
              <w:t>Total energy</w:t>
            </w:r>
          </w:p>
        </w:tc>
        <w:tc>
          <w:tcPr>
            <w:tcW w:w="851" w:type="dxa"/>
            <w:shd w:val="clear" w:color="auto" w:fill="F2F2F2" w:themeFill="background1" w:themeFillShade="F2"/>
          </w:tcPr>
          <w:p w:rsidR="00402B8A" w:rsidRPr="000D7A2A" w:rsidRDefault="00402B8A" w:rsidP="00402B8A">
            <w:pPr>
              <w:jc w:val="right"/>
              <w:rPr>
                <w:rFonts w:cs="Arial"/>
                <w:b/>
                <w:lang w:val="en-GB"/>
              </w:rPr>
            </w:pPr>
            <w:r>
              <w:rPr>
                <w:rFonts w:cs="Arial"/>
                <w:b/>
                <w:lang w:val="en-GB"/>
              </w:rPr>
              <w:t>Energy prod.</w:t>
            </w:r>
          </w:p>
        </w:tc>
        <w:tc>
          <w:tcPr>
            <w:tcW w:w="1134" w:type="dxa"/>
            <w:shd w:val="clear" w:color="auto" w:fill="F2F2F2" w:themeFill="background1" w:themeFillShade="F2"/>
          </w:tcPr>
          <w:p w:rsidR="00402B8A" w:rsidRDefault="00402B8A" w:rsidP="00402B8A">
            <w:pPr>
              <w:jc w:val="right"/>
              <w:rPr>
                <w:rFonts w:cs="Arial"/>
                <w:b/>
                <w:lang w:val="en-GB"/>
              </w:rPr>
            </w:pPr>
            <w:r>
              <w:rPr>
                <w:rFonts w:cs="Arial"/>
                <w:b/>
                <w:lang w:val="en-GB"/>
              </w:rPr>
              <w:t>Net reg.</w:t>
            </w:r>
          </w:p>
        </w:tc>
      </w:tr>
      <w:tr w:rsidR="00FA62B7" w:rsidTr="00402B8A">
        <w:tc>
          <w:tcPr>
            <w:tcW w:w="1559" w:type="dxa"/>
          </w:tcPr>
          <w:p w:rsidR="00FA62B7" w:rsidRPr="009D7745" w:rsidRDefault="00FA62B7" w:rsidP="00402B8A">
            <w:pPr>
              <w:rPr>
                <w:rFonts w:cs="Arial"/>
                <w:b/>
                <w:lang w:val="en-GB"/>
              </w:rPr>
            </w:pPr>
            <w:r>
              <w:rPr>
                <w:rFonts w:cs="Arial"/>
                <w:b/>
                <w:lang w:val="en-GB"/>
              </w:rPr>
              <w:t>Current conditions</w:t>
            </w:r>
          </w:p>
        </w:tc>
        <w:tc>
          <w:tcPr>
            <w:tcW w:w="992" w:type="dxa"/>
          </w:tcPr>
          <w:p w:rsidR="00FA62B7" w:rsidRDefault="00A55D6D" w:rsidP="00402B8A">
            <w:pPr>
              <w:jc w:val="right"/>
              <w:rPr>
                <w:rFonts w:cs="Arial"/>
                <w:lang w:val="en-GB"/>
              </w:rPr>
            </w:pPr>
            <w:r>
              <w:rPr>
                <w:rFonts w:cs="Arial"/>
                <w:lang w:val="en-GB"/>
              </w:rPr>
              <w:t>49</w:t>
            </w:r>
          </w:p>
        </w:tc>
        <w:tc>
          <w:tcPr>
            <w:tcW w:w="851" w:type="dxa"/>
          </w:tcPr>
          <w:p w:rsidR="00FA62B7" w:rsidRDefault="00A55D6D" w:rsidP="00402B8A">
            <w:pPr>
              <w:jc w:val="right"/>
              <w:rPr>
                <w:rFonts w:cs="Arial"/>
                <w:lang w:val="en-GB"/>
              </w:rPr>
            </w:pPr>
            <w:r>
              <w:rPr>
                <w:rFonts w:cs="Arial"/>
                <w:lang w:val="en-GB"/>
              </w:rPr>
              <w:t>98</w:t>
            </w:r>
          </w:p>
        </w:tc>
        <w:tc>
          <w:tcPr>
            <w:tcW w:w="850" w:type="dxa"/>
            <w:tcBorders>
              <w:right w:val="single" w:sz="4" w:space="0" w:color="auto"/>
            </w:tcBorders>
          </w:tcPr>
          <w:p w:rsidR="00FA62B7" w:rsidRDefault="00FA62B7" w:rsidP="00402B8A">
            <w:pPr>
              <w:jc w:val="right"/>
              <w:rPr>
                <w:rFonts w:cs="Arial"/>
                <w:lang w:val="en-GB"/>
              </w:rPr>
            </w:pPr>
            <w:r>
              <w:rPr>
                <w:rFonts w:cs="Arial"/>
                <w:lang w:val="en-GB"/>
              </w:rPr>
              <w:t>-50</w:t>
            </w:r>
          </w:p>
        </w:tc>
        <w:tc>
          <w:tcPr>
            <w:tcW w:w="1134" w:type="dxa"/>
            <w:tcBorders>
              <w:left w:val="single" w:sz="4" w:space="0" w:color="auto"/>
              <w:right w:val="single" w:sz="12" w:space="0" w:color="auto"/>
            </w:tcBorders>
          </w:tcPr>
          <w:p w:rsidR="00FA62B7" w:rsidRDefault="00A55D6D" w:rsidP="00402B8A">
            <w:pPr>
              <w:jc w:val="right"/>
              <w:rPr>
                <w:rFonts w:cs="Arial"/>
                <w:lang w:val="en-GB"/>
              </w:rPr>
            </w:pPr>
            <w:r>
              <w:rPr>
                <w:rFonts w:cs="Arial"/>
                <w:lang w:val="en-GB"/>
              </w:rPr>
              <w:t>-1</w:t>
            </w:r>
          </w:p>
        </w:tc>
        <w:tc>
          <w:tcPr>
            <w:tcW w:w="993" w:type="dxa"/>
            <w:tcBorders>
              <w:left w:val="single" w:sz="12" w:space="0" w:color="auto"/>
            </w:tcBorders>
          </w:tcPr>
          <w:p w:rsidR="00FA62B7" w:rsidRDefault="00FA62B7" w:rsidP="00402B8A">
            <w:pPr>
              <w:jc w:val="right"/>
              <w:rPr>
                <w:rFonts w:cs="Arial"/>
                <w:lang w:val="en-GB"/>
              </w:rPr>
            </w:pPr>
            <w:r>
              <w:rPr>
                <w:rFonts w:cs="Arial"/>
                <w:lang w:val="en-GB"/>
              </w:rPr>
              <w:t>45</w:t>
            </w:r>
          </w:p>
        </w:tc>
        <w:tc>
          <w:tcPr>
            <w:tcW w:w="850" w:type="dxa"/>
          </w:tcPr>
          <w:p w:rsidR="00FA62B7" w:rsidRDefault="00A55D6D" w:rsidP="00402B8A">
            <w:pPr>
              <w:jc w:val="right"/>
              <w:rPr>
                <w:rFonts w:cs="Arial"/>
                <w:lang w:val="en-GB"/>
              </w:rPr>
            </w:pPr>
            <w:r>
              <w:rPr>
                <w:rFonts w:cs="Arial"/>
                <w:lang w:val="en-GB"/>
              </w:rPr>
              <w:t>80</w:t>
            </w:r>
          </w:p>
        </w:tc>
        <w:tc>
          <w:tcPr>
            <w:tcW w:w="851" w:type="dxa"/>
          </w:tcPr>
          <w:p w:rsidR="00FA62B7" w:rsidRDefault="00FA62B7" w:rsidP="005D2662">
            <w:pPr>
              <w:jc w:val="right"/>
              <w:rPr>
                <w:rFonts w:cs="Arial"/>
                <w:lang w:val="en-GB"/>
              </w:rPr>
            </w:pPr>
            <w:r>
              <w:rPr>
                <w:rFonts w:cs="Arial"/>
                <w:lang w:val="en-GB"/>
              </w:rPr>
              <w:t>-50</w:t>
            </w:r>
          </w:p>
        </w:tc>
        <w:tc>
          <w:tcPr>
            <w:tcW w:w="1134" w:type="dxa"/>
          </w:tcPr>
          <w:p w:rsidR="00FA62B7" w:rsidRDefault="00FA62B7" w:rsidP="00402B8A">
            <w:pPr>
              <w:jc w:val="right"/>
              <w:rPr>
                <w:rFonts w:cs="Arial"/>
                <w:lang w:val="en-GB"/>
              </w:rPr>
            </w:pPr>
            <w:r>
              <w:rPr>
                <w:rFonts w:cs="Arial"/>
                <w:lang w:val="en-GB"/>
              </w:rPr>
              <w:t>-5</w:t>
            </w:r>
          </w:p>
        </w:tc>
      </w:tr>
      <w:tr w:rsidR="00FA62B7" w:rsidTr="00402B8A">
        <w:tc>
          <w:tcPr>
            <w:tcW w:w="1559" w:type="dxa"/>
          </w:tcPr>
          <w:p w:rsidR="00FA62B7" w:rsidRPr="000D7A2A" w:rsidRDefault="00FA62B7" w:rsidP="00402B8A">
            <w:pPr>
              <w:rPr>
                <w:rFonts w:cs="Arial"/>
                <w:b/>
                <w:lang w:val="en-GB"/>
              </w:rPr>
            </w:pPr>
            <w:r>
              <w:rPr>
                <w:rFonts w:cs="Arial"/>
                <w:b/>
                <w:lang w:val="en-GB"/>
              </w:rPr>
              <w:t>2030 H 50%</w:t>
            </w:r>
          </w:p>
        </w:tc>
        <w:tc>
          <w:tcPr>
            <w:tcW w:w="992" w:type="dxa"/>
          </w:tcPr>
          <w:p w:rsidR="00FA62B7" w:rsidRDefault="00A55D6D" w:rsidP="00402B8A">
            <w:pPr>
              <w:jc w:val="right"/>
              <w:rPr>
                <w:rFonts w:cs="Arial"/>
                <w:lang w:val="en-GB"/>
              </w:rPr>
            </w:pPr>
            <w:r>
              <w:rPr>
                <w:rFonts w:cs="Arial"/>
                <w:lang w:val="en-GB"/>
              </w:rPr>
              <w:t>46</w:t>
            </w:r>
          </w:p>
        </w:tc>
        <w:tc>
          <w:tcPr>
            <w:tcW w:w="851" w:type="dxa"/>
          </w:tcPr>
          <w:p w:rsidR="00FA62B7" w:rsidRPr="00040B88" w:rsidRDefault="00A55D6D" w:rsidP="00402B8A">
            <w:pPr>
              <w:jc w:val="right"/>
              <w:rPr>
                <w:rFonts w:cs="Arial"/>
                <w:lang w:val="en-GB"/>
              </w:rPr>
            </w:pPr>
            <w:r>
              <w:rPr>
                <w:rFonts w:cs="Arial"/>
                <w:lang w:val="en-GB"/>
              </w:rPr>
              <w:t>95</w:t>
            </w:r>
          </w:p>
        </w:tc>
        <w:tc>
          <w:tcPr>
            <w:tcW w:w="850" w:type="dxa"/>
            <w:tcBorders>
              <w:right w:val="single" w:sz="4" w:space="0" w:color="auto"/>
            </w:tcBorders>
          </w:tcPr>
          <w:p w:rsidR="00FA62B7" w:rsidRPr="00040B88" w:rsidRDefault="00FA62B7" w:rsidP="00402B8A">
            <w:pPr>
              <w:jc w:val="right"/>
              <w:rPr>
                <w:rFonts w:cs="Arial"/>
                <w:lang w:val="en-GB"/>
              </w:rPr>
            </w:pPr>
            <w:r>
              <w:rPr>
                <w:rFonts w:cs="Arial"/>
                <w:lang w:val="en-GB"/>
              </w:rPr>
              <w:t>-49</w:t>
            </w:r>
          </w:p>
        </w:tc>
        <w:tc>
          <w:tcPr>
            <w:tcW w:w="1134" w:type="dxa"/>
            <w:tcBorders>
              <w:left w:val="single" w:sz="4" w:space="0" w:color="auto"/>
              <w:right w:val="single" w:sz="12" w:space="0" w:color="auto"/>
            </w:tcBorders>
          </w:tcPr>
          <w:p w:rsidR="00FA62B7" w:rsidRDefault="00FA62B7" w:rsidP="00A55D6D">
            <w:pPr>
              <w:jc w:val="right"/>
              <w:rPr>
                <w:rFonts w:cs="Arial"/>
                <w:lang w:val="en-GB"/>
              </w:rPr>
            </w:pPr>
            <w:r>
              <w:rPr>
                <w:rFonts w:cs="Arial"/>
                <w:lang w:val="en-GB"/>
              </w:rPr>
              <w:t>-</w:t>
            </w:r>
            <w:r w:rsidR="00A55D6D">
              <w:rPr>
                <w:rFonts w:cs="Arial"/>
                <w:lang w:val="en-GB"/>
              </w:rPr>
              <w:t>3</w:t>
            </w:r>
          </w:p>
        </w:tc>
        <w:tc>
          <w:tcPr>
            <w:tcW w:w="993" w:type="dxa"/>
            <w:tcBorders>
              <w:left w:val="single" w:sz="12" w:space="0" w:color="auto"/>
            </w:tcBorders>
          </w:tcPr>
          <w:p w:rsidR="00FA62B7" w:rsidRDefault="00B24055" w:rsidP="00402B8A">
            <w:pPr>
              <w:jc w:val="right"/>
              <w:rPr>
                <w:rFonts w:cs="Arial"/>
                <w:lang w:val="en-GB"/>
              </w:rPr>
            </w:pPr>
            <w:r>
              <w:rPr>
                <w:rFonts w:cs="Arial"/>
                <w:lang w:val="en-GB"/>
              </w:rPr>
              <w:t>41</w:t>
            </w:r>
          </w:p>
        </w:tc>
        <w:tc>
          <w:tcPr>
            <w:tcW w:w="850" w:type="dxa"/>
          </w:tcPr>
          <w:p w:rsidR="00FA62B7" w:rsidRDefault="00A55D6D" w:rsidP="00402B8A">
            <w:pPr>
              <w:jc w:val="right"/>
              <w:rPr>
                <w:rFonts w:cs="Arial"/>
                <w:lang w:val="en-GB"/>
              </w:rPr>
            </w:pPr>
            <w:r>
              <w:rPr>
                <w:rFonts w:cs="Arial"/>
                <w:lang w:val="en-GB"/>
              </w:rPr>
              <w:t>76</w:t>
            </w:r>
          </w:p>
        </w:tc>
        <w:tc>
          <w:tcPr>
            <w:tcW w:w="851" w:type="dxa"/>
          </w:tcPr>
          <w:p w:rsidR="00FA62B7" w:rsidRPr="00040B88" w:rsidRDefault="00FA62B7" w:rsidP="005D2662">
            <w:pPr>
              <w:jc w:val="right"/>
              <w:rPr>
                <w:rFonts w:cs="Arial"/>
                <w:lang w:val="en-GB"/>
              </w:rPr>
            </w:pPr>
            <w:r>
              <w:rPr>
                <w:rFonts w:cs="Arial"/>
                <w:lang w:val="en-GB"/>
              </w:rPr>
              <w:t>-49</w:t>
            </w:r>
          </w:p>
        </w:tc>
        <w:tc>
          <w:tcPr>
            <w:tcW w:w="1134" w:type="dxa"/>
          </w:tcPr>
          <w:p w:rsidR="00FA62B7" w:rsidRDefault="00B24055" w:rsidP="00402B8A">
            <w:pPr>
              <w:jc w:val="right"/>
              <w:rPr>
                <w:rFonts w:cs="Arial"/>
                <w:lang w:val="en-GB"/>
              </w:rPr>
            </w:pPr>
            <w:r>
              <w:rPr>
                <w:rFonts w:cs="Arial"/>
                <w:lang w:val="en-GB"/>
              </w:rPr>
              <w:t>-8</w:t>
            </w:r>
          </w:p>
        </w:tc>
      </w:tr>
      <w:tr w:rsidR="00FA62B7" w:rsidTr="00402B8A">
        <w:tc>
          <w:tcPr>
            <w:tcW w:w="1559" w:type="dxa"/>
          </w:tcPr>
          <w:p w:rsidR="00FA62B7" w:rsidRDefault="00FA62B7" w:rsidP="00402B8A">
            <w:pPr>
              <w:rPr>
                <w:rFonts w:cs="Arial"/>
                <w:b/>
                <w:lang w:val="en-GB"/>
              </w:rPr>
            </w:pPr>
            <w:r>
              <w:rPr>
                <w:rFonts w:cs="Arial"/>
                <w:b/>
                <w:lang w:val="en-GB"/>
              </w:rPr>
              <w:t>2050 H 50%</w:t>
            </w:r>
          </w:p>
        </w:tc>
        <w:tc>
          <w:tcPr>
            <w:tcW w:w="992" w:type="dxa"/>
          </w:tcPr>
          <w:p w:rsidR="00FA62B7" w:rsidRDefault="00A55D6D" w:rsidP="00402B8A">
            <w:pPr>
              <w:jc w:val="right"/>
              <w:rPr>
                <w:rFonts w:cs="Arial"/>
                <w:lang w:val="en-GB"/>
              </w:rPr>
            </w:pPr>
            <w:r>
              <w:rPr>
                <w:rFonts w:cs="Arial"/>
                <w:lang w:val="en-GB"/>
              </w:rPr>
              <w:t>44</w:t>
            </w:r>
          </w:p>
        </w:tc>
        <w:tc>
          <w:tcPr>
            <w:tcW w:w="851" w:type="dxa"/>
          </w:tcPr>
          <w:p w:rsidR="00FA62B7" w:rsidRDefault="00A55D6D" w:rsidP="00402B8A">
            <w:pPr>
              <w:jc w:val="right"/>
              <w:rPr>
                <w:rFonts w:cs="Arial"/>
                <w:lang w:val="en-GB"/>
              </w:rPr>
            </w:pPr>
            <w:r>
              <w:rPr>
                <w:rFonts w:cs="Arial"/>
                <w:lang w:val="en-GB"/>
              </w:rPr>
              <w:t>93</w:t>
            </w:r>
          </w:p>
        </w:tc>
        <w:tc>
          <w:tcPr>
            <w:tcW w:w="850" w:type="dxa"/>
            <w:tcBorders>
              <w:right w:val="single" w:sz="4" w:space="0" w:color="auto"/>
            </w:tcBorders>
            <w:shd w:val="clear" w:color="auto" w:fill="FFFFFF" w:themeFill="background1"/>
          </w:tcPr>
          <w:p w:rsidR="00FA62B7" w:rsidRDefault="00FA62B7" w:rsidP="00402B8A">
            <w:pPr>
              <w:jc w:val="right"/>
              <w:rPr>
                <w:rFonts w:cs="Arial"/>
                <w:lang w:val="en-GB"/>
              </w:rPr>
            </w:pPr>
            <w:r>
              <w:rPr>
                <w:rFonts w:cs="Arial"/>
                <w:lang w:val="en-GB"/>
              </w:rPr>
              <w:t>-50</w:t>
            </w:r>
          </w:p>
        </w:tc>
        <w:tc>
          <w:tcPr>
            <w:tcW w:w="1134" w:type="dxa"/>
            <w:tcBorders>
              <w:left w:val="single" w:sz="4" w:space="0" w:color="auto"/>
              <w:right w:val="single" w:sz="12" w:space="0" w:color="auto"/>
            </w:tcBorders>
            <w:shd w:val="clear" w:color="auto" w:fill="FFFFFF" w:themeFill="background1"/>
          </w:tcPr>
          <w:p w:rsidR="00FA62B7" w:rsidRDefault="00FA62B7" w:rsidP="00A55D6D">
            <w:pPr>
              <w:jc w:val="right"/>
              <w:rPr>
                <w:rFonts w:cs="Arial"/>
                <w:lang w:val="en-GB"/>
              </w:rPr>
            </w:pPr>
            <w:r>
              <w:rPr>
                <w:rFonts w:cs="Arial"/>
                <w:lang w:val="en-GB"/>
              </w:rPr>
              <w:t>-</w:t>
            </w:r>
            <w:r w:rsidR="00A55D6D">
              <w:rPr>
                <w:rFonts w:cs="Arial"/>
                <w:lang w:val="en-GB"/>
              </w:rPr>
              <w:t>6</w:t>
            </w:r>
          </w:p>
        </w:tc>
        <w:tc>
          <w:tcPr>
            <w:tcW w:w="993" w:type="dxa"/>
            <w:tcBorders>
              <w:left w:val="single" w:sz="12" w:space="0" w:color="auto"/>
            </w:tcBorders>
            <w:shd w:val="clear" w:color="auto" w:fill="FFFFFF" w:themeFill="background1"/>
          </w:tcPr>
          <w:p w:rsidR="00FA62B7" w:rsidRDefault="00B24055" w:rsidP="00402B8A">
            <w:pPr>
              <w:jc w:val="right"/>
              <w:rPr>
                <w:rFonts w:cs="Arial"/>
                <w:lang w:val="en-GB"/>
              </w:rPr>
            </w:pPr>
            <w:r>
              <w:rPr>
                <w:rFonts w:cs="Arial"/>
                <w:lang w:val="en-GB"/>
              </w:rPr>
              <w:t>39</w:t>
            </w:r>
          </w:p>
        </w:tc>
        <w:tc>
          <w:tcPr>
            <w:tcW w:w="850" w:type="dxa"/>
            <w:shd w:val="clear" w:color="auto" w:fill="FFFFFF" w:themeFill="background1"/>
          </w:tcPr>
          <w:p w:rsidR="00FA62B7" w:rsidRDefault="00A55D6D" w:rsidP="00402B8A">
            <w:pPr>
              <w:jc w:val="right"/>
              <w:rPr>
                <w:rFonts w:cs="Arial"/>
                <w:lang w:val="en-GB"/>
              </w:rPr>
            </w:pPr>
            <w:r>
              <w:rPr>
                <w:rFonts w:cs="Arial"/>
                <w:lang w:val="en-GB"/>
              </w:rPr>
              <w:t>74</w:t>
            </w:r>
          </w:p>
        </w:tc>
        <w:tc>
          <w:tcPr>
            <w:tcW w:w="851" w:type="dxa"/>
            <w:shd w:val="clear" w:color="auto" w:fill="FFFFFF" w:themeFill="background1"/>
          </w:tcPr>
          <w:p w:rsidR="00FA62B7" w:rsidRDefault="00FA62B7" w:rsidP="005D2662">
            <w:pPr>
              <w:jc w:val="right"/>
              <w:rPr>
                <w:rFonts w:cs="Arial"/>
                <w:lang w:val="en-GB"/>
              </w:rPr>
            </w:pPr>
            <w:r>
              <w:rPr>
                <w:rFonts w:cs="Arial"/>
                <w:lang w:val="en-GB"/>
              </w:rPr>
              <w:t>-50</w:t>
            </w:r>
          </w:p>
        </w:tc>
        <w:tc>
          <w:tcPr>
            <w:tcW w:w="1134" w:type="dxa"/>
            <w:shd w:val="clear" w:color="auto" w:fill="FFFFFF" w:themeFill="background1"/>
          </w:tcPr>
          <w:p w:rsidR="00FA62B7" w:rsidRDefault="00FA62B7" w:rsidP="00B24055">
            <w:pPr>
              <w:jc w:val="right"/>
              <w:rPr>
                <w:rFonts w:cs="Arial"/>
                <w:lang w:val="en-GB"/>
              </w:rPr>
            </w:pPr>
            <w:r>
              <w:rPr>
                <w:rFonts w:cs="Arial"/>
                <w:lang w:val="en-GB"/>
              </w:rPr>
              <w:t>-1</w:t>
            </w:r>
            <w:r w:rsidR="00B24055">
              <w:rPr>
                <w:rFonts w:cs="Arial"/>
                <w:lang w:val="en-GB"/>
              </w:rPr>
              <w:t>1</w:t>
            </w:r>
          </w:p>
        </w:tc>
      </w:tr>
      <w:tr w:rsidR="00FA62B7" w:rsidTr="00402B8A">
        <w:tc>
          <w:tcPr>
            <w:tcW w:w="1559" w:type="dxa"/>
          </w:tcPr>
          <w:p w:rsidR="00FA62B7" w:rsidRDefault="00FA62B7" w:rsidP="00402B8A">
            <w:pPr>
              <w:rPr>
                <w:rFonts w:cs="Arial"/>
                <w:b/>
                <w:lang w:val="en-GB"/>
              </w:rPr>
            </w:pPr>
            <w:r>
              <w:rPr>
                <w:rFonts w:cs="Arial"/>
                <w:b/>
                <w:lang w:val="en-GB"/>
              </w:rPr>
              <w:t>2080 H 50%</w:t>
            </w:r>
          </w:p>
        </w:tc>
        <w:tc>
          <w:tcPr>
            <w:tcW w:w="992" w:type="dxa"/>
          </w:tcPr>
          <w:p w:rsidR="00FA62B7" w:rsidRDefault="00A55D6D" w:rsidP="00402B8A">
            <w:pPr>
              <w:jc w:val="right"/>
              <w:rPr>
                <w:rFonts w:cs="Arial"/>
                <w:lang w:val="en-GB"/>
              </w:rPr>
            </w:pPr>
            <w:r>
              <w:rPr>
                <w:rFonts w:cs="Arial"/>
                <w:lang w:val="en-GB"/>
              </w:rPr>
              <w:t>38</w:t>
            </w:r>
          </w:p>
        </w:tc>
        <w:tc>
          <w:tcPr>
            <w:tcW w:w="851" w:type="dxa"/>
          </w:tcPr>
          <w:p w:rsidR="00FA62B7" w:rsidRDefault="00A55D6D" w:rsidP="00402B8A">
            <w:pPr>
              <w:jc w:val="right"/>
              <w:rPr>
                <w:rFonts w:cs="Arial"/>
                <w:lang w:val="en-GB"/>
              </w:rPr>
            </w:pPr>
            <w:r>
              <w:rPr>
                <w:rFonts w:cs="Arial"/>
                <w:lang w:val="en-GB"/>
              </w:rPr>
              <w:t>87</w:t>
            </w:r>
          </w:p>
        </w:tc>
        <w:tc>
          <w:tcPr>
            <w:tcW w:w="850" w:type="dxa"/>
            <w:tcBorders>
              <w:right w:val="single" w:sz="4" w:space="0" w:color="auto"/>
            </w:tcBorders>
            <w:shd w:val="clear" w:color="auto" w:fill="FFFFFF" w:themeFill="background1"/>
          </w:tcPr>
          <w:p w:rsidR="00FA62B7" w:rsidRDefault="00FA62B7" w:rsidP="00402B8A">
            <w:pPr>
              <w:jc w:val="right"/>
              <w:rPr>
                <w:rFonts w:cs="Arial"/>
                <w:lang w:val="en-GB"/>
              </w:rPr>
            </w:pPr>
            <w:r>
              <w:rPr>
                <w:rFonts w:cs="Arial"/>
                <w:lang w:val="en-GB"/>
              </w:rPr>
              <w:t>-52</w:t>
            </w:r>
          </w:p>
        </w:tc>
        <w:tc>
          <w:tcPr>
            <w:tcW w:w="1134" w:type="dxa"/>
            <w:tcBorders>
              <w:left w:val="single" w:sz="4" w:space="0" w:color="auto"/>
              <w:right w:val="single" w:sz="12" w:space="0" w:color="auto"/>
            </w:tcBorders>
            <w:shd w:val="clear" w:color="auto" w:fill="FFFFFF" w:themeFill="background1"/>
          </w:tcPr>
          <w:p w:rsidR="00FA62B7" w:rsidRDefault="00FA62B7" w:rsidP="00A55D6D">
            <w:pPr>
              <w:tabs>
                <w:tab w:val="center" w:pos="459"/>
                <w:tab w:val="right" w:pos="918"/>
              </w:tabs>
              <w:rPr>
                <w:rFonts w:cs="Arial"/>
                <w:lang w:val="en-GB"/>
              </w:rPr>
            </w:pPr>
            <w:r>
              <w:rPr>
                <w:rFonts w:cs="Arial"/>
                <w:lang w:val="en-GB"/>
              </w:rPr>
              <w:tab/>
            </w:r>
            <w:r>
              <w:rPr>
                <w:rFonts w:cs="Arial"/>
                <w:lang w:val="en-GB"/>
              </w:rPr>
              <w:tab/>
              <w:t>-</w:t>
            </w:r>
            <w:r w:rsidR="00A55D6D">
              <w:rPr>
                <w:rFonts w:cs="Arial"/>
                <w:lang w:val="en-GB"/>
              </w:rPr>
              <w:t>14</w:t>
            </w:r>
          </w:p>
        </w:tc>
        <w:tc>
          <w:tcPr>
            <w:tcW w:w="993" w:type="dxa"/>
            <w:tcBorders>
              <w:left w:val="single" w:sz="12" w:space="0" w:color="auto"/>
            </w:tcBorders>
            <w:shd w:val="clear" w:color="auto" w:fill="FFFFFF" w:themeFill="background1"/>
          </w:tcPr>
          <w:p w:rsidR="00FA62B7" w:rsidRDefault="00B24055" w:rsidP="00402B8A">
            <w:pPr>
              <w:jc w:val="right"/>
              <w:rPr>
                <w:rFonts w:cs="Arial"/>
                <w:lang w:val="en-GB"/>
              </w:rPr>
            </w:pPr>
            <w:r>
              <w:rPr>
                <w:rFonts w:cs="Arial"/>
                <w:lang w:val="en-GB"/>
              </w:rPr>
              <w:t>34</w:t>
            </w:r>
          </w:p>
        </w:tc>
        <w:tc>
          <w:tcPr>
            <w:tcW w:w="850" w:type="dxa"/>
            <w:shd w:val="clear" w:color="auto" w:fill="FFFFFF" w:themeFill="background1"/>
          </w:tcPr>
          <w:p w:rsidR="00FA62B7" w:rsidRDefault="00A55D6D" w:rsidP="00402B8A">
            <w:pPr>
              <w:jc w:val="right"/>
              <w:rPr>
                <w:rFonts w:cs="Arial"/>
                <w:lang w:val="en-GB"/>
              </w:rPr>
            </w:pPr>
            <w:r>
              <w:rPr>
                <w:rFonts w:cs="Arial"/>
                <w:lang w:val="en-GB"/>
              </w:rPr>
              <w:t>69</w:t>
            </w:r>
          </w:p>
        </w:tc>
        <w:tc>
          <w:tcPr>
            <w:tcW w:w="851" w:type="dxa"/>
            <w:shd w:val="clear" w:color="auto" w:fill="FFFFFF" w:themeFill="background1"/>
          </w:tcPr>
          <w:p w:rsidR="00FA62B7" w:rsidRDefault="00FA62B7" w:rsidP="005D2662">
            <w:pPr>
              <w:jc w:val="right"/>
              <w:rPr>
                <w:rFonts w:cs="Arial"/>
                <w:lang w:val="en-GB"/>
              </w:rPr>
            </w:pPr>
            <w:r>
              <w:rPr>
                <w:rFonts w:cs="Arial"/>
                <w:lang w:val="en-GB"/>
              </w:rPr>
              <w:t>-52</w:t>
            </w:r>
          </w:p>
        </w:tc>
        <w:tc>
          <w:tcPr>
            <w:tcW w:w="1134" w:type="dxa"/>
            <w:shd w:val="clear" w:color="auto" w:fill="FFFFFF" w:themeFill="background1"/>
          </w:tcPr>
          <w:p w:rsidR="00FA62B7" w:rsidRDefault="00FA62B7" w:rsidP="00402B8A">
            <w:pPr>
              <w:jc w:val="right"/>
              <w:rPr>
                <w:rFonts w:cs="Arial"/>
                <w:lang w:val="en-GB"/>
              </w:rPr>
            </w:pPr>
            <w:r>
              <w:rPr>
                <w:rFonts w:cs="Arial"/>
                <w:lang w:val="en-GB"/>
              </w:rPr>
              <w:t>-1</w:t>
            </w:r>
            <w:r w:rsidR="00B24055">
              <w:rPr>
                <w:rFonts w:cs="Arial"/>
                <w:lang w:val="en-GB"/>
              </w:rPr>
              <w:t>8</w:t>
            </w:r>
          </w:p>
        </w:tc>
      </w:tr>
    </w:tbl>
    <w:p w:rsidR="008C7444" w:rsidRDefault="008C7444" w:rsidP="008C7444">
      <w:pPr>
        <w:pStyle w:val="ZEROPLUSCAPTION"/>
        <w:rPr>
          <w:noProof/>
          <w:lang w:val="en-GB" w:eastAsia="en-GB"/>
        </w:rPr>
      </w:pPr>
    </w:p>
    <w:p w:rsidR="00E94654" w:rsidRDefault="0088595E" w:rsidP="008C7444">
      <w:pPr>
        <w:pStyle w:val="ZEROPLUSCAPTION"/>
      </w:pPr>
      <w:r>
        <w:rPr>
          <w:noProof/>
          <w:lang w:val="en-GB" w:eastAsia="en-GB"/>
        </w:rPr>
        <w:drawing>
          <wp:inline distT="0" distB="0" distL="0" distR="0" wp14:anchorId="0EA006BE" wp14:editId="2C2F7181">
            <wp:extent cx="5738191" cy="3810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6369" cy="3808790"/>
                    </a:xfrm>
                    <a:prstGeom prst="rect">
                      <a:avLst/>
                    </a:prstGeom>
                    <a:noFill/>
                  </pic:spPr>
                </pic:pic>
              </a:graphicData>
            </a:graphic>
          </wp:inline>
        </w:drawing>
      </w:r>
    </w:p>
    <w:p w:rsidR="008C7444" w:rsidRPr="00523F84" w:rsidRDefault="008C7444" w:rsidP="008C7444">
      <w:bookmarkStart w:id="4" w:name="_Toc452628881"/>
      <w:r w:rsidRPr="008C7444">
        <w:rPr>
          <w:b/>
        </w:rPr>
        <w:t>Figure 5</w:t>
      </w:r>
      <w:r>
        <w:t xml:space="preserve"> </w:t>
      </w:r>
      <w:r w:rsidR="00974A1F">
        <w:t>Energy consumption and renewable energy generation results</w:t>
      </w:r>
      <w:r>
        <w:t xml:space="preserve"> for </w:t>
      </w:r>
      <w:r w:rsidR="00974A1F">
        <w:t xml:space="preserve">NZE dwellings under </w:t>
      </w:r>
      <w:bookmarkEnd w:id="4"/>
      <w:r w:rsidR="00974A1F">
        <w:t>different climate change scenarios</w:t>
      </w:r>
    </w:p>
    <w:p w:rsidR="00367C95" w:rsidRPr="00367C95" w:rsidRDefault="00905B11" w:rsidP="008C7444">
      <w:r>
        <w:t xml:space="preserve">Table </w:t>
      </w:r>
      <w:r w:rsidR="00FC67AD">
        <w:t>8</w:t>
      </w:r>
      <w:r>
        <w:t xml:space="preserve"> shows the overheating results for each criterion using the adaptive comfort method. </w:t>
      </w:r>
      <w:r w:rsidR="008C7444">
        <w:t xml:space="preserve">The results indicate that overheating will likely be a problem for the dwelling by the 2080s climate period based on current design and construction parameters. </w:t>
      </w:r>
      <w:r>
        <w:t>D</w:t>
      </w:r>
      <w:r w:rsidR="008C7444">
        <w:t xml:space="preserve">welling </w:t>
      </w:r>
      <w:r>
        <w:t xml:space="preserve">A </w:t>
      </w:r>
      <w:r w:rsidR="008C7444">
        <w:t xml:space="preserve">also shows </w:t>
      </w:r>
      <w:r w:rsidR="00E91DC9">
        <w:t>some risk of</w:t>
      </w:r>
      <w:r w:rsidR="008C7444">
        <w:t xml:space="preserve"> overheating in the living room by the 2050s climate period. </w:t>
      </w:r>
      <w:proofErr w:type="gramStart"/>
      <w:r w:rsidR="00367C95">
        <w:t xml:space="preserve">As the </w:t>
      </w:r>
      <w:r w:rsidR="00E8103E">
        <w:t xml:space="preserve">front </w:t>
      </w:r>
      <w:r w:rsidR="00367C95">
        <w:t>facades of the dwellings face northeast, the garden facing aspect of the dwellings face southwest.</w:t>
      </w:r>
      <w:proofErr w:type="gramEnd"/>
      <w:r w:rsidR="00367C95">
        <w:t xml:space="preserve"> Common to all designs in the development are large double glass doors in the living room facing the garden and larger windows for other rooms.  This could </w:t>
      </w:r>
      <w:r w:rsidR="005E7122">
        <w:t xml:space="preserve">help explain the greater level of overheating in the living room as compared to the bedrooms. Again Bedroom 1 is also southwest facing and overheats a bit more than the second bedrooms. </w:t>
      </w:r>
    </w:p>
    <w:p w:rsidR="00E5070D" w:rsidRDefault="00E5070D">
      <w:pPr>
        <w:rPr>
          <w:b/>
        </w:rPr>
      </w:pPr>
      <w:bookmarkStart w:id="5" w:name="_Toc450313079"/>
      <w:r>
        <w:rPr>
          <w:b/>
        </w:rPr>
        <w:br w:type="page"/>
      </w:r>
    </w:p>
    <w:p w:rsidR="008C7444" w:rsidRPr="006A2FBA" w:rsidRDefault="008C7444" w:rsidP="008C7444">
      <w:pPr>
        <w:rPr>
          <w:rFonts w:ascii="Arial" w:hAnsi="Arial" w:cs="Arial"/>
          <w:i/>
        </w:rPr>
      </w:pPr>
      <w:r w:rsidRPr="008C7444">
        <w:rPr>
          <w:b/>
        </w:rPr>
        <w:lastRenderedPageBreak/>
        <w:t xml:space="preserve">Table </w:t>
      </w:r>
      <w:r w:rsidR="00FC67AD">
        <w:rPr>
          <w:b/>
        </w:rPr>
        <w:t>8</w:t>
      </w:r>
      <w:r w:rsidRPr="00E26E99">
        <w:t xml:space="preserve"> </w:t>
      </w:r>
      <w:r w:rsidR="00DA48A0">
        <w:t>Simulation based summertime o</w:t>
      </w:r>
      <w:r>
        <w:t>verheating results</w:t>
      </w:r>
      <w:bookmarkEnd w:id="5"/>
      <w:r w:rsidR="0010519F">
        <w:t xml:space="preserve"> </w:t>
      </w:r>
      <w:r w:rsidR="00DA48A0">
        <w:t xml:space="preserve">for the two case study dwellings  </w:t>
      </w:r>
    </w:p>
    <w:tbl>
      <w:tblPr>
        <w:tblStyle w:val="TableGrid"/>
        <w:tblW w:w="0" w:type="auto"/>
        <w:tblLook w:val="04A0" w:firstRow="1" w:lastRow="0" w:firstColumn="1" w:lastColumn="0" w:noHBand="0" w:noVBand="1"/>
      </w:tblPr>
      <w:tblGrid>
        <w:gridCol w:w="1704"/>
        <w:gridCol w:w="1704"/>
        <w:gridCol w:w="1705"/>
        <w:gridCol w:w="1704"/>
        <w:gridCol w:w="1705"/>
      </w:tblGrid>
      <w:tr w:rsidR="008C7444" w:rsidTr="00402B8A">
        <w:tc>
          <w:tcPr>
            <w:tcW w:w="1704" w:type="dxa"/>
            <w:shd w:val="clear" w:color="auto" w:fill="BFBFBF" w:themeFill="background1" w:themeFillShade="BF"/>
          </w:tcPr>
          <w:p w:rsidR="008C7444" w:rsidRPr="000829D7" w:rsidRDefault="008C7444" w:rsidP="00402B8A">
            <w:pPr>
              <w:jc w:val="both"/>
              <w:rPr>
                <w:rFonts w:cs="Arial"/>
                <w:b/>
                <w:lang w:val="en-GB"/>
              </w:rPr>
            </w:pPr>
          </w:p>
        </w:tc>
        <w:tc>
          <w:tcPr>
            <w:tcW w:w="1704" w:type="dxa"/>
            <w:shd w:val="clear" w:color="auto" w:fill="BFBFBF" w:themeFill="background1" w:themeFillShade="BF"/>
          </w:tcPr>
          <w:p w:rsidR="008C7444" w:rsidRPr="000829D7" w:rsidRDefault="008C7444" w:rsidP="00402B8A">
            <w:pPr>
              <w:jc w:val="both"/>
              <w:rPr>
                <w:rFonts w:cs="Arial"/>
                <w:b/>
                <w:lang w:val="en-GB"/>
              </w:rPr>
            </w:pPr>
            <w:r>
              <w:rPr>
                <w:rFonts w:cs="Arial"/>
                <w:b/>
                <w:lang w:val="en-GB"/>
              </w:rPr>
              <w:t>Criteria 1</w:t>
            </w:r>
          </w:p>
        </w:tc>
        <w:tc>
          <w:tcPr>
            <w:tcW w:w="1705" w:type="dxa"/>
            <w:shd w:val="clear" w:color="auto" w:fill="BFBFBF" w:themeFill="background1" w:themeFillShade="BF"/>
          </w:tcPr>
          <w:p w:rsidR="008C7444" w:rsidRPr="000829D7" w:rsidRDefault="008C7444" w:rsidP="00402B8A">
            <w:pPr>
              <w:jc w:val="both"/>
              <w:rPr>
                <w:rFonts w:cs="Arial"/>
                <w:b/>
                <w:lang w:val="en-GB"/>
              </w:rPr>
            </w:pPr>
            <w:r>
              <w:rPr>
                <w:rFonts w:cs="Arial"/>
                <w:b/>
                <w:lang w:val="en-GB"/>
              </w:rPr>
              <w:t>Criteria 2</w:t>
            </w:r>
          </w:p>
        </w:tc>
        <w:tc>
          <w:tcPr>
            <w:tcW w:w="1704" w:type="dxa"/>
            <w:shd w:val="clear" w:color="auto" w:fill="BFBFBF" w:themeFill="background1" w:themeFillShade="BF"/>
          </w:tcPr>
          <w:p w:rsidR="008C7444" w:rsidRPr="000829D7" w:rsidRDefault="008C7444" w:rsidP="00402B8A">
            <w:pPr>
              <w:jc w:val="both"/>
              <w:rPr>
                <w:rFonts w:cs="Arial"/>
                <w:b/>
                <w:lang w:val="en-GB"/>
              </w:rPr>
            </w:pPr>
            <w:r>
              <w:rPr>
                <w:rFonts w:cs="Arial"/>
                <w:b/>
                <w:lang w:val="en-GB"/>
              </w:rPr>
              <w:t>Criteria 3</w:t>
            </w:r>
          </w:p>
        </w:tc>
        <w:tc>
          <w:tcPr>
            <w:tcW w:w="1705" w:type="dxa"/>
            <w:shd w:val="clear" w:color="auto" w:fill="BFBFBF" w:themeFill="background1" w:themeFillShade="BF"/>
          </w:tcPr>
          <w:p w:rsidR="008C7444" w:rsidRPr="000829D7" w:rsidRDefault="008C7444" w:rsidP="00402B8A">
            <w:pPr>
              <w:jc w:val="both"/>
              <w:rPr>
                <w:rFonts w:cs="Arial"/>
                <w:b/>
                <w:lang w:val="en-GB"/>
              </w:rPr>
            </w:pPr>
            <w:r>
              <w:rPr>
                <w:rFonts w:cs="Arial"/>
                <w:b/>
                <w:lang w:val="en-GB"/>
              </w:rPr>
              <w:t>Criteria failing</w:t>
            </w:r>
          </w:p>
        </w:tc>
      </w:tr>
      <w:tr w:rsidR="008C7444" w:rsidTr="00402B8A">
        <w:tc>
          <w:tcPr>
            <w:tcW w:w="8522" w:type="dxa"/>
            <w:gridSpan w:val="5"/>
            <w:shd w:val="clear" w:color="auto" w:fill="D9D9D9" w:themeFill="background1" w:themeFillShade="D9"/>
          </w:tcPr>
          <w:p w:rsidR="008C7444" w:rsidRPr="000829D7" w:rsidRDefault="008D65AA" w:rsidP="00402B8A">
            <w:pPr>
              <w:jc w:val="center"/>
              <w:rPr>
                <w:rFonts w:cs="Arial"/>
                <w:b/>
                <w:lang w:val="en-GB"/>
              </w:rPr>
            </w:pPr>
            <w:r>
              <w:rPr>
                <w:rFonts w:cs="Arial"/>
                <w:b/>
                <w:lang w:val="en-GB"/>
              </w:rPr>
              <w:t>Dwelling A</w:t>
            </w:r>
          </w:p>
        </w:tc>
      </w:tr>
      <w:tr w:rsidR="008C7444" w:rsidTr="00402B8A">
        <w:tc>
          <w:tcPr>
            <w:tcW w:w="8522" w:type="dxa"/>
            <w:gridSpan w:val="5"/>
            <w:shd w:val="clear" w:color="auto" w:fill="F2F2F2" w:themeFill="background1" w:themeFillShade="F2"/>
          </w:tcPr>
          <w:p w:rsidR="008C7444" w:rsidRPr="000829D7" w:rsidRDefault="008C7444" w:rsidP="00402B8A">
            <w:pPr>
              <w:jc w:val="center"/>
              <w:rPr>
                <w:rFonts w:cs="Arial"/>
                <w:lang w:val="en-GB"/>
              </w:rPr>
            </w:pPr>
            <w:r>
              <w:rPr>
                <w:rFonts w:cs="Arial"/>
                <w:b/>
                <w:lang w:val="en-GB"/>
              </w:rPr>
              <w:t>Current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Living room</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1</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2</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8522" w:type="dxa"/>
            <w:gridSpan w:val="5"/>
            <w:shd w:val="clear" w:color="auto" w:fill="F2F2F2" w:themeFill="background1" w:themeFillShade="F2"/>
            <w:vAlign w:val="center"/>
          </w:tcPr>
          <w:p w:rsidR="008C7444" w:rsidRPr="000829D7" w:rsidRDefault="008C7444" w:rsidP="00402B8A">
            <w:pPr>
              <w:jc w:val="center"/>
              <w:rPr>
                <w:rFonts w:cs="Arial"/>
                <w:lang w:val="en-GB"/>
              </w:rPr>
            </w:pPr>
            <w:r>
              <w:rPr>
                <w:rFonts w:cs="Arial"/>
                <w:b/>
                <w:lang w:val="en-GB"/>
              </w:rPr>
              <w:t>2030 H 50%</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Living room</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1</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2</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8522" w:type="dxa"/>
            <w:gridSpan w:val="5"/>
            <w:shd w:val="clear" w:color="auto" w:fill="F2F2F2" w:themeFill="background1" w:themeFillShade="F2"/>
            <w:vAlign w:val="center"/>
          </w:tcPr>
          <w:p w:rsidR="008C7444" w:rsidRPr="000829D7" w:rsidRDefault="008C7444" w:rsidP="00402B8A">
            <w:pPr>
              <w:jc w:val="center"/>
              <w:rPr>
                <w:rFonts w:cs="Arial"/>
                <w:lang w:val="en-GB"/>
              </w:rPr>
            </w:pPr>
            <w:r>
              <w:rPr>
                <w:rFonts w:cs="Arial"/>
                <w:b/>
                <w:lang w:val="en-GB"/>
              </w:rPr>
              <w:t>2050 H 50%</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Living room</w:t>
            </w:r>
          </w:p>
        </w:tc>
        <w:tc>
          <w:tcPr>
            <w:tcW w:w="1704" w:type="dxa"/>
            <w:shd w:val="clear" w:color="auto" w:fill="E5B8B7" w:themeFill="accent2" w:themeFillTint="66"/>
          </w:tcPr>
          <w:p w:rsidR="008C7444" w:rsidRPr="000829D7" w:rsidRDefault="008C7444" w:rsidP="00402B8A">
            <w:pPr>
              <w:jc w:val="center"/>
              <w:rPr>
                <w:rFonts w:cs="Arial"/>
                <w:lang w:val="en-GB"/>
              </w:rPr>
            </w:pPr>
            <w:r>
              <w:rPr>
                <w:rFonts w:cs="Arial"/>
                <w:lang w:val="en-GB"/>
              </w:rPr>
              <w:t>9.8</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21</w:t>
            </w:r>
          </w:p>
        </w:tc>
        <w:tc>
          <w:tcPr>
            <w:tcW w:w="1704" w:type="dxa"/>
          </w:tcPr>
          <w:p w:rsidR="008C7444" w:rsidRPr="000829D7" w:rsidRDefault="008C7444" w:rsidP="00402B8A">
            <w:pPr>
              <w:jc w:val="center"/>
              <w:rPr>
                <w:rFonts w:cs="Arial"/>
                <w:lang w:val="en-GB"/>
              </w:rPr>
            </w:pPr>
            <w:r>
              <w:rPr>
                <w:rFonts w:cs="Arial"/>
                <w:lang w:val="en-GB"/>
              </w:rPr>
              <w:t>4</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 &amp; 2</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1</w:t>
            </w:r>
          </w:p>
        </w:tc>
        <w:tc>
          <w:tcPr>
            <w:tcW w:w="1704" w:type="dxa"/>
          </w:tcPr>
          <w:p w:rsidR="008C7444" w:rsidRPr="000829D7" w:rsidRDefault="008C7444" w:rsidP="00402B8A">
            <w:pPr>
              <w:jc w:val="center"/>
              <w:rPr>
                <w:rFonts w:cs="Arial"/>
                <w:lang w:val="en-GB"/>
              </w:rPr>
            </w:pPr>
            <w:r>
              <w:rPr>
                <w:rFonts w:cs="Arial"/>
                <w:lang w:val="en-GB"/>
              </w:rPr>
              <w:t>2.3</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12</w:t>
            </w:r>
          </w:p>
        </w:tc>
        <w:tc>
          <w:tcPr>
            <w:tcW w:w="1704" w:type="dxa"/>
          </w:tcPr>
          <w:p w:rsidR="008C7444" w:rsidRPr="000829D7" w:rsidRDefault="008C7444" w:rsidP="00402B8A">
            <w:pPr>
              <w:jc w:val="center"/>
              <w:rPr>
                <w:rFonts w:cs="Arial"/>
                <w:lang w:val="en-GB"/>
              </w:rPr>
            </w:pPr>
            <w:r>
              <w:rPr>
                <w:rFonts w:cs="Arial"/>
                <w:lang w:val="en-GB"/>
              </w:rPr>
              <w:t>2</w:t>
            </w:r>
          </w:p>
        </w:tc>
        <w:tc>
          <w:tcPr>
            <w:tcW w:w="1705" w:type="dxa"/>
          </w:tcPr>
          <w:p w:rsidR="008C7444" w:rsidRPr="000829D7" w:rsidRDefault="008C7444" w:rsidP="00402B8A">
            <w:pPr>
              <w:jc w:val="center"/>
              <w:rPr>
                <w:rFonts w:cs="Arial"/>
                <w:lang w:val="en-GB"/>
              </w:rPr>
            </w:pPr>
            <w:r>
              <w:rPr>
                <w:rFonts w:cs="Arial"/>
                <w:lang w:val="en-GB"/>
              </w:rPr>
              <w:t>2</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2</w:t>
            </w:r>
          </w:p>
        </w:tc>
        <w:tc>
          <w:tcPr>
            <w:tcW w:w="1704" w:type="dxa"/>
          </w:tcPr>
          <w:p w:rsidR="008C7444" w:rsidRPr="000829D7" w:rsidRDefault="008C7444" w:rsidP="00402B8A">
            <w:pPr>
              <w:jc w:val="center"/>
              <w:rPr>
                <w:rFonts w:cs="Arial"/>
                <w:lang w:val="en-GB"/>
              </w:rPr>
            </w:pPr>
            <w:r>
              <w:rPr>
                <w:rFonts w:cs="Arial"/>
                <w:lang w:val="en-GB"/>
              </w:rPr>
              <w:t>1.2</w:t>
            </w:r>
          </w:p>
        </w:tc>
        <w:tc>
          <w:tcPr>
            <w:tcW w:w="1705" w:type="dxa"/>
          </w:tcPr>
          <w:p w:rsidR="008C7444" w:rsidRPr="000829D7" w:rsidRDefault="008C7444" w:rsidP="00402B8A">
            <w:pPr>
              <w:jc w:val="center"/>
              <w:rPr>
                <w:rFonts w:cs="Arial"/>
                <w:lang w:val="en-GB"/>
              </w:rPr>
            </w:pPr>
            <w:r>
              <w:rPr>
                <w:rFonts w:cs="Arial"/>
                <w:lang w:val="en-GB"/>
              </w:rPr>
              <w:t>6</w:t>
            </w:r>
          </w:p>
        </w:tc>
        <w:tc>
          <w:tcPr>
            <w:tcW w:w="1704" w:type="dxa"/>
          </w:tcPr>
          <w:p w:rsidR="008C7444" w:rsidRPr="000829D7" w:rsidRDefault="008C7444" w:rsidP="00402B8A">
            <w:pPr>
              <w:jc w:val="center"/>
              <w:rPr>
                <w:rFonts w:cs="Arial"/>
                <w:lang w:val="en-GB"/>
              </w:rPr>
            </w:pPr>
            <w:r>
              <w:rPr>
                <w:rFonts w:cs="Arial"/>
                <w:lang w:val="en-GB"/>
              </w:rPr>
              <w:t>2</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8522" w:type="dxa"/>
            <w:gridSpan w:val="5"/>
            <w:shd w:val="clear" w:color="auto" w:fill="F2F2F2" w:themeFill="background1" w:themeFillShade="F2"/>
            <w:vAlign w:val="center"/>
          </w:tcPr>
          <w:p w:rsidR="008C7444" w:rsidRPr="000829D7" w:rsidRDefault="008C7444" w:rsidP="00402B8A">
            <w:pPr>
              <w:jc w:val="center"/>
              <w:rPr>
                <w:rFonts w:cs="Arial"/>
                <w:lang w:val="en-GB"/>
              </w:rPr>
            </w:pPr>
            <w:r>
              <w:rPr>
                <w:rFonts w:cs="Arial"/>
                <w:b/>
                <w:lang w:val="en-GB"/>
              </w:rPr>
              <w:t>2080 H 50%</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Living room</w:t>
            </w:r>
          </w:p>
        </w:tc>
        <w:tc>
          <w:tcPr>
            <w:tcW w:w="1704" w:type="dxa"/>
            <w:shd w:val="clear" w:color="auto" w:fill="E5B8B7" w:themeFill="accent2" w:themeFillTint="66"/>
          </w:tcPr>
          <w:p w:rsidR="008C7444" w:rsidRPr="000829D7" w:rsidRDefault="008C7444" w:rsidP="00402B8A">
            <w:pPr>
              <w:jc w:val="center"/>
              <w:rPr>
                <w:rFonts w:cs="Arial"/>
                <w:lang w:val="en-GB"/>
              </w:rPr>
            </w:pPr>
            <w:r>
              <w:rPr>
                <w:rFonts w:cs="Arial"/>
                <w:lang w:val="en-GB"/>
              </w:rPr>
              <w:t>9.9</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34</w:t>
            </w:r>
          </w:p>
        </w:tc>
        <w:tc>
          <w:tcPr>
            <w:tcW w:w="1704" w:type="dxa"/>
            <w:shd w:val="clear" w:color="auto" w:fill="E5B8B7" w:themeFill="accent2" w:themeFillTint="66"/>
          </w:tcPr>
          <w:p w:rsidR="008C7444" w:rsidRPr="000829D7" w:rsidRDefault="008C7444" w:rsidP="00402B8A">
            <w:pPr>
              <w:jc w:val="center"/>
              <w:rPr>
                <w:rFonts w:cs="Arial"/>
                <w:lang w:val="en-GB"/>
              </w:rPr>
            </w:pPr>
            <w:r>
              <w:rPr>
                <w:rFonts w:cs="Arial"/>
                <w:lang w:val="en-GB"/>
              </w:rPr>
              <w:t>5</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 &amp; 2 &amp; 3</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1</w:t>
            </w:r>
          </w:p>
        </w:tc>
        <w:tc>
          <w:tcPr>
            <w:tcW w:w="1704" w:type="dxa"/>
            <w:shd w:val="clear" w:color="auto" w:fill="E5B8B7" w:themeFill="accent2" w:themeFillTint="66"/>
          </w:tcPr>
          <w:p w:rsidR="008C7444" w:rsidRPr="000829D7" w:rsidRDefault="008C7444" w:rsidP="00402B8A">
            <w:pPr>
              <w:jc w:val="center"/>
              <w:rPr>
                <w:rFonts w:cs="Arial"/>
                <w:lang w:val="en-GB"/>
              </w:rPr>
            </w:pPr>
            <w:r>
              <w:rPr>
                <w:rFonts w:cs="Arial"/>
                <w:lang w:val="en-GB"/>
              </w:rPr>
              <w:t>8.1</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27</w:t>
            </w:r>
          </w:p>
        </w:tc>
        <w:tc>
          <w:tcPr>
            <w:tcW w:w="1704" w:type="dxa"/>
          </w:tcPr>
          <w:p w:rsidR="008C7444" w:rsidRPr="000829D7" w:rsidRDefault="008C7444" w:rsidP="00402B8A">
            <w:pPr>
              <w:jc w:val="center"/>
              <w:rPr>
                <w:rFonts w:cs="Arial"/>
                <w:lang w:val="en-GB"/>
              </w:rPr>
            </w:pPr>
            <w:r>
              <w:rPr>
                <w:rFonts w:cs="Arial"/>
                <w:lang w:val="en-GB"/>
              </w:rPr>
              <w:t>3</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 &amp; 2</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2</w:t>
            </w:r>
          </w:p>
        </w:tc>
        <w:tc>
          <w:tcPr>
            <w:tcW w:w="1704" w:type="dxa"/>
            <w:shd w:val="clear" w:color="auto" w:fill="E5B8B7" w:themeFill="accent2" w:themeFillTint="66"/>
          </w:tcPr>
          <w:p w:rsidR="008C7444" w:rsidRPr="000829D7" w:rsidRDefault="008C7444" w:rsidP="00402B8A">
            <w:pPr>
              <w:jc w:val="center"/>
              <w:rPr>
                <w:rFonts w:cs="Arial"/>
                <w:lang w:val="en-GB"/>
              </w:rPr>
            </w:pPr>
            <w:r>
              <w:rPr>
                <w:rFonts w:cs="Arial"/>
                <w:lang w:val="en-GB"/>
              </w:rPr>
              <w:t>6.9</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23</w:t>
            </w:r>
          </w:p>
        </w:tc>
        <w:tc>
          <w:tcPr>
            <w:tcW w:w="1704" w:type="dxa"/>
          </w:tcPr>
          <w:p w:rsidR="008C7444" w:rsidRPr="000829D7" w:rsidRDefault="008C7444" w:rsidP="00402B8A">
            <w:pPr>
              <w:jc w:val="center"/>
              <w:rPr>
                <w:rFonts w:cs="Arial"/>
                <w:lang w:val="en-GB"/>
              </w:rPr>
            </w:pPr>
            <w:r>
              <w:rPr>
                <w:rFonts w:cs="Arial"/>
                <w:lang w:val="en-GB"/>
              </w:rPr>
              <w:t>4</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 &amp; 2</w:t>
            </w:r>
          </w:p>
        </w:tc>
      </w:tr>
      <w:tr w:rsidR="008C7444" w:rsidRPr="0008325F" w:rsidTr="00402B8A">
        <w:tc>
          <w:tcPr>
            <w:tcW w:w="8522" w:type="dxa"/>
            <w:gridSpan w:val="5"/>
            <w:shd w:val="clear" w:color="auto" w:fill="D9D9D9" w:themeFill="background1" w:themeFillShade="D9"/>
          </w:tcPr>
          <w:p w:rsidR="008C7444" w:rsidRPr="000829D7" w:rsidRDefault="008D65AA" w:rsidP="00402B8A">
            <w:pPr>
              <w:jc w:val="center"/>
              <w:rPr>
                <w:rFonts w:cs="Arial"/>
                <w:b/>
                <w:lang w:val="en-GB"/>
              </w:rPr>
            </w:pPr>
            <w:r>
              <w:rPr>
                <w:rFonts w:cs="Arial"/>
                <w:b/>
                <w:lang w:val="en-GB"/>
              </w:rPr>
              <w:t>Dwelling B</w:t>
            </w:r>
          </w:p>
        </w:tc>
      </w:tr>
      <w:tr w:rsidR="008C7444" w:rsidTr="00402B8A">
        <w:tc>
          <w:tcPr>
            <w:tcW w:w="8522" w:type="dxa"/>
            <w:gridSpan w:val="5"/>
            <w:shd w:val="clear" w:color="auto" w:fill="F2F2F2" w:themeFill="background1" w:themeFillShade="F2"/>
          </w:tcPr>
          <w:p w:rsidR="008C7444" w:rsidRPr="000829D7" w:rsidRDefault="008C7444" w:rsidP="00402B8A">
            <w:pPr>
              <w:jc w:val="center"/>
              <w:rPr>
                <w:rFonts w:cs="Arial"/>
                <w:lang w:val="en-GB"/>
              </w:rPr>
            </w:pPr>
            <w:r>
              <w:rPr>
                <w:rFonts w:cs="Arial"/>
                <w:b/>
                <w:lang w:val="en-GB"/>
              </w:rPr>
              <w:t>Current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Living room</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1</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2</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8522" w:type="dxa"/>
            <w:gridSpan w:val="5"/>
            <w:shd w:val="clear" w:color="auto" w:fill="F2F2F2" w:themeFill="background1" w:themeFillShade="F2"/>
            <w:vAlign w:val="center"/>
          </w:tcPr>
          <w:p w:rsidR="008C7444" w:rsidRPr="000829D7" w:rsidRDefault="008C7444" w:rsidP="00402B8A">
            <w:pPr>
              <w:jc w:val="center"/>
              <w:rPr>
                <w:rFonts w:cs="Arial"/>
                <w:lang w:val="en-GB"/>
              </w:rPr>
            </w:pPr>
            <w:r>
              <w:rPr>
                <w:rFonts w:cs="Arial"/>
                <w:b/>
                <w:lang w:val="en-GB"/>
              </w:rPr>
              <w:t>2030 H 50%</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Living room</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1</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2</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0</w:t>
            </w:r>
          </w:p>
        </w:tc>
        <w:tc>
          <w:tcPr>
            <w:tcW w:w="1704" w:type="dxa"/>
          </w:tcPr>
          <w:p w:rsidR="008C7444" w:rsidRPr="000829D7" w:rsidRDefault="008C7444" w:rsidP="00402B8A">
            <w:pPr>
              <w:jc w:val="center"/>
              <w:rPr>
                <w:rFonts w:cs="Arial"/>
                <w:lang w:val="en-GB"/>
              </w:rPr>
            </w:pPr>
            <w:r>
              <w:rPr>
                <w:rFonts w:cs="Arial"/>
                <w:lang w:val="en-GB"/>
              </w:rPr>
              <w:t>0</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8522" w:type="dxa"/>
            <w:gridSpan w:val="5"/>
            <w:shd w:val="clear" w:color="auto" w:fill="F2F2F2" w:themeFill="background1" w:themeFillShade="F2"/>
            <w:vAlign w:val="center"/>
          </w:tcPr>
          <w:p w:rsidR="008C7444" w:rsidRPr="000829D7" w:rsidRDefault="008C7444" w:rsidP="00402B8A">
            <w:pPr>
              <w:jc w:val="center"/>
              <w:rPr>
                <w:rFonts w:cs="Arial"/>
                <w:lang w:val="en-GB"/>
              </w:rPr>
            </w:pPr>
            <w:r>
              <w:rPr>
                <w:rFonts w:cs="Arial"/>
                <w:b/>
                <w:lang w:val="en-GB"/>
              </w:rPr>
              <w:t>2050 H 50%</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Living room</w:t>
            </w:r>
          </w:p>
        </w:tc>
        <w:tc>
          <w:tcPr>
            <w:tcW w:w="1704" w:type="dxa"/>
          </w:tcPr>
          <w:p w:rsidR="008C7444" w:rsidRPr="000829D7" w:rsidRDefault="008C7444" w:rsidP="00402B8A">
            <w:pPr>
              <w:jc w:val="center"/>
              <w:rPr>
                <w:rFonts w:cs="Arial"/>
                <w:lang w:val="en-GB"/>
              </w:rPr>
            </w:pPr>
            <w:r>
              <w:rPr>
                <w:rFonts w:cs="Arial"/>
                <w:lang w:val="en-GB"/>
              </w:rPr>
              <w:t>2</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9</w:t>
            </w:r>
          </w:p>
        </w:tc>
        <w:tc>
          <w:tcPr>
            <w:tcW w:w="1704" w:type="dxa"/>
          </w:tcPr>
          <w:p w:rsidR="008C7444" w:rsidRPr="000829D7" w:rsidRDefault="008C7444" w:rsidP="00402B8A">
            <w:pPr>
              <w:jc w:val="center"/>
              <w:rPr>
                <w:rFonts w:cs="Arial"/>
                <w:lang w:val="en-GB"/>
              </w:rPr>
            </w:pPr>
            <w:r>
              <w:rPr>
                <w:rFonts w:cs="Arial"/>
                <w:lang w:val="en-GB"/>
              </w:rPr>
              <w:t>2</w:t>
            </w:r>
          </w:p>
        </w:tc>
        <w:tc>
          <w:tcPr>
            <w:tcW w:w="1705" w:type="dxa"/>
          </w:tcPr>
          <w:p w:rsidR="008C7444" w:rsidRPr="000829D7" w:rsidRDefault="008C7444" w:rsidP="00402B8A">
            <w:pPr>
              <w:jc w:val="center"/>
              <w:rPr>
                <w:rFonts w:cs="Arial"/>
                <w:lang w:val="en-GB"/>
              </w:rPr>
            </w:pPr>
            <w:r>
              <w:rPr>
                <w:rFonts w:cs="Arial"/>
                <w:lang w:val="en-GB"/>
              </w:rPr>
              <w:t>2</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1</w:t>
            </w:r>
          </w:p>
        </w:tc>
        <w:tc>
          <w:tcPr>
            <w:tcW w:w="1704" w:type="dxa"/>
          </w:tcPr>
          <w:p w:rsidR="008C7444" w:rsidRPr="000829D7" w:rsidRDefault="008C7444" w:rsidP="00402B8A">
            <w:pPr>
              <w:jc w:val="center"/>
              <w:rPr>
                <w:rFonts w:cs="Arial"/>
                <w:lang w:val="en-GB"/>
              </w:rPr>
            </w:pPr>
            <w:r>
              <w:rPr>
                <w:rFonts w:cs="Arial"/>
                <w:lang w:val="en-GB"/>
              </w:rPr>
              <w:t>0.2</w:t>
            </w:r>
          </w:p>
        </w:tc>
        <w:tc>
          <w:tcPr>
            <w:tcW w:w="1705" w:type="dxa"/>
          </w:tcPr>
          <w:p w:rsidR="008C7444" w:rsidRPr="000829D7" w:rsidRDefault="008C7444" w:rsidP="00402B8A">
            <w:pPr>
              <w:jc w:val="center"/>
              <w:rPr>
                <w:rFonts w:cs="Arial"/>
                <w:lang w:val="en-GB"/>
              </w:rPr>
            </w:pPr>
            <w:r>
              <w:rPr>
                <w:rFonts w:cs="Arial"/>
                <w:lang w:val="en-GB"/>
              </w:rPr>
              <w:t>2</w:t>
            </w:r>
          </w:p>
        </w:tc>
        <w:tc>
          <w:tcPr>
            <w:tcW w:w="1704" w:type="dxa"/>
          </w:tcPr>
          <w:p w:rsidR="008C7444" w:rsidRPr="000829D7" w:rsidRDefault="008C7444" w:rsidP="00402B8A">
            <w:pPr>
              <w:jc w:val="center"/>
              <w:rPr>
                <w:rFonts w:cs="Arial"/>
                <w:lang w:val="en-GB"/>
              </w:rPr>
            </w:pPr>
            <w:r>
              <w:rPr>
                <w:rFonts w:cs="Arial"/>
                <w:lang w:val="en-GB"/>
              </w:rPr>
              <w:t>1</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2</w:t>
            </w:r>
          </w:p>
        </w:tc>
        <w:tc>
          <w:tcPr>
            <w:tcW w:w="1704" w:type="dxa"/>
          </w:tcPr>
          <w:p w:rsidR="008C7444" w:rsidRPr="000829D7" w:rsidRDefault="008C7444" w:rsidP="00402B8A">
            <w:pPr>
              <w:jc w:val="center"/>
              <w:rPr>
                <w:rFonts w:cs="Arial"/>
                <w:lang w:val="en-GB"/>
              </w:rPr>
            </w:pPr>
            <w:r>
              <w:rPr>
                <w:rFonts w:cs="Arial"/>
                <w:lang w:val="en-GB"/>
              </w:rPr>
              <w:t>0.6</w:t>
            </w:r>
          </w:p>
        </w:tc>
        <w:tc>
          <w:tcPr>
            <w:tcW w:w="1705" w:type="dxa"/>
          </w:tcPr>
          <w:p w:rsidR="008C7444" w:rsidRPr="000829D7" w:rsidRDefault="008C7444" w:rsidP="00402B8A">
            <w:pPr>
              <w:jc w:val="center"/>
              <w:rPr>
                <w:rFonts w:cs="Arial"/>
                <w:lang w:val="en-GB"/>
              </w:rPr>
            </w:pPr>
            <w:r>
              <w:rPr>
                <w:rFonts w:cs="Arial"/>
                <w:lang w:val="en-GB"/>
              </w:rPr>
              <w:t>3</w:t>
            </w:r>
          </w:p>
        </w:tc>
        <w:tc>
          <w:tcPr>
            <w:tcW w:w="1704" w:type="dxa"/>
          </w:tcPr>
          <w:p w:rsidR="008C7444" w:rsidRPr="000829D7" w:rsidRDefault="008C7444" w:rsidP="00402B8A">
            <w:pPr>
              <w:jc w:val="center"/>
              <w:rPr>
                <w:rFonts w:cs="Arial"/>
                <w:lang w:val="en-GB"/>
              </w:rPr>
            </w:pPr>
            <w:r>
              <w:rPr>
                <w:rFonts w:cs="Arial"/>
                <w:lang w:val="en-GB"/>
              </w:rPr>
              <w:t>2</w:t>
            </w:r>
          </w:p>
        </w:tc>
        <w:tc>
          <w:tcPr>
            <w:tcW w:w="1705" w:type="dxa"/>
          </w:tcPr>
          <w:p w:rsidR="008C7444" w:rsidRPr="000829D7" w:rsidRDefault="008C7444" w:rsidP="00402B8A">
            <w:pPr>
              <w:jc w:val="center"/>
              <w:rPr>
                <w:rFonts w:cs="Arial"/>
                <w:lang w:val="en-GB"/>
              </w:rPr>
            </w:pPr>
            <w:r>
              <w:rPr>
                <w:rFonts w:cs="Arial"/>
                <w:lang w:val="en-GB"/>
              </w:rPr>
              <w:t>-</w:t>
            </w:r>
          </w:p>
        </w:tc>
      </w:tr>
      <w:tr w:rsidR="008C7444" w:rsidTr="00402B8A">
        <w:tc>
          <w:tcPr>
            <w:tcW w:w="8522" w:type="dxa"/>
            <w:gridSpan w:val="5"/>
            <w:shd w:val="clear" w:color="auto" w:fill="F2F2F2" w:themeFill="background1" w:themeFillShade="F2"/>
            <w:vAlign w:val="center"/>
          </w:tcPr>
          <w:p w:rsidR="008C7444" w:rsidRPr="000829D7" w:rsidRDefault="008C7444" w:rsidP="00402B8A">
            <w:pPr>
              <w:jc w:val="center"/>
              <w:rPr>
                <w:rFonts w:cs="Arial"/>
                <w:lang w:val="en-GB"/>
              </w:rPr>
            </w:pPr>
            <w:r>
              <w:rPr>
                <w:rFonts w:cs="Arial"/>
                <w:b/>
                <w:lang w:val="en-GB"/>
              </w:rPr>
              <w:t>2080 H 50%</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Living room</w:t>
            </w:r>
          </w:p>
        </w:tc>
        <w:tc>
          <w:tcPr>
            <w:tcW w:w="1704" w:type="dxa"/>
            <w:shd w:val="clear" w:color="auto" w:fill="E5B8B7" w:themeFill="accent2" w:themeFillTint="66"/>
          </w:tcPr>
          <w:p w:rsidR="008C7444" w:rsidRPr="000829D7" w:rsidRDefault="008C7444" w:rsidP="00402B8A">
            <w:pPr>
              <w:jc w:val="center"/>
              <w:rPr>
                <w:rFonts w:cs="Arial"/>
                <w:lang w:val="en-GB"/>
              </w:rPr>
            </w:pPr>
            <w:r>
              <w:rPr>
                <w:rFonts w:cs="Arial"/>
                <w:lang w:val="en-GB"/>
              </w:rPr>
              <w:t>7.8</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19</w:t>
            </w:r>
          </w:p>
        </w:tc>
        <w:tc>
          <w:tcPr>
            <w:tcW w:w="1704" w:type="dxa"/>
          </w:tcPr>
          <w:p w:rsidR="008C7444" w:rsidRPr="000829D7" w:rsidRDefault="008C7444" w:rsidP="00402B8A">
            <w:pPr>
              <w:jc w:val="center"/>
              <w:rPr>
                <w:rFonts w:cs="Arial"/>
                <w:lang w:val="en-GB"/>
              </w:rPr>
            </w:pPr>
            <w:r>
              <w:rPr>
                <w:rFonts w:cs="Arial"/>
                <w:lang w:val="en-GB"/>
              </w:rPr>
              <w:t>3</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 &amp; 2</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1</w:t>
            </w:r>
          </w:p>
        </w:tc>
        <w:tc>
          <w:tcPr>
            <w:tcW w:w="1704" w:type="dxa"/>
            <w:shd w:val="clear" w:color="auto" w:fill="E5B8B7" w:themeFill="accent2" w:themeFillTint="66"/>
          </w:tcPr>
          <w:p w:rsidR="008C7444" w:rsidRPr="000829D7" w:rsidRDefault="008C7444" w:rsidP="00402B8A">
            <w:pPr>
              <w:jc w:val="center"/>
              <w:rPr>
                <w:rFonts w:cs="Arial"/>
                <w:lang w:val="en-GB"/>
              </w:rPr>
            </w:pPr>
            <w:r>
              <w:rPr>
                <w:rFonts w:cs="Arial"/>
                <w:lang w:val="en-GB"/>
              </w:rPr>
              <w:t>5.6</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15</w:t>
            </w:r>
          </w:p>
        </w:tc>
        <w:tc>
          <w:tcPr>
            <w:tcW w:w="1704" w:type="dxa"/>
          </w:tcPr>
          <w:p w:rsidR="008C7444" w:rsidRPr="000829D7" w:rsidRDefault="008C7444" w:rsidP="00402B8A">
            <w:pPr>
              <w:jc w:val="center"/>
              <w:rPr>
                <w:rFonts w:cs="Arial"/>
                <w:lang w:val="en-GB"/>
              </w:rPr>
            </w:pPr>
            <w:r>
              <w:rPr>
                <w:rFonts w:cs="Arial"/>
                <w:lang w:val="en-GB"/>
              </w:rPr>
              <w:t>2</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 &amp; 2</w:t>
            </w:r>
          </w:p>
        </w:tc>
      </w:tr>
      <w:tr w:rsidR="008C7444" w:rsidTr="00402B8A">
        <w:tc>
          <w:tcPr>
            <w:tcW w:w="1704" w:type="dxa"/>
          </w:tcPr>
          <w:p w:rsidR="008C7444" w:rsidRPr="000829D7" w:rsidRDefault="008C7444" w:rsidP="00402B8A">
            <w:pPr>
              <w:jc w:val="both"/>
              <w:rPr>
                <w:rFonts w:cs="Arial"/>
                <w:lang w:val="en-GB"/>
              </w:rPr>
            </w:pPr>
            <w:r w:rsidRPr="000829D7">
              <w:rPr>
                <w:rFonts w:cs="Arial"/>
                <w:lang w:val="en-GB"/>
              </w:rPr>
              <w:t>Bedroom 2</w:t>
            </w:r>
          </w:p>
        </w:tc>
        <w:tc>
          <w:tcPr>
            <w:tcW w:w="1704" w:type="dxa"/>
            <w:shd w:val="clear" w:color="auto" w:fill="E5B8B7" w:themeFill="accent2" w:themeFillTint="66"/>
          </w:tcPr>
          <w:p w:rsidR="008C7444" w:rsidRPr="000829D7" w:rsidRDefault="008C7444" w:rsidP="00402B8A">
            <w:pPr>
              <w:jc w:val="center"/>
              <w:rPr>
                <w:rFonts w:cs="Arial"/>
                <w:lang w:val="en-GB"/>
              </w:rPr>
            </w:pPr>
            <w:r>
              <w:rPr>
                <w:rFonts w:cs="Arial"/>
                <w:lang w:val="en-GB"/>
              </w:rPr>
              <w:t>3.8</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13</w:t>
            </w:r>
          </w:p>
        </w:tc>
        <w:tc>
          <w:tcPr>
            <w:tcW w:w="1704" w:type="dxa"/>
          </w:tcPr>
          <w:p w:rsidR="008C7444" w:rsidRPr="000829D7" w:rsidRDefault="008C7444" w:rsidP="00402B8A">
            <w:pPr>
              <w:jc w:val="center"/>
              <w:rPr>
                <w:rFonts w:cs="Arial"/>
                <w:lang w:val="en-GB"/>
              </w:rPr>
            </w:pPr>
            <w:r>
              <w:rPr>
                <w:rFonts w:cs="Arial"/>
                <w:lang w:val="en-GB"/>
              </w:rPr>
              <w:t>4</w:t>
            </w:r>
          </w:p>
        </w:tc>
        <w:tc>
          <w:tcPr>
            <w:tcW w:w="1705" w:type="dxa"/>
            <w:shd w:val="clear" w:color="auto" w:fill="E5B8B7" w:themeFill="accent2" w:themeFillTint="66"/>
          </w:tcPr>
          <w:p w:rsidR="008C7444" w:rsidRPr="000829D7" w:rsidRDefault="008C7444" w:rsidP="00402B8A">
            <w:pPr>
              <w:jc w:val="center"/>
              <w:rPr>
                <w:rFonts w:cs="Arial"/>
                <w:lang w:val="en-GB"/>
              </w:rPr>
            </w:pPr>
            <w:r>
              <w:rPr>
                <w:rFonts w:cs="Arial"/>
                <w:lang w:val="en-GB"/>
              </w:rPr>
              <w:t>1 &amp; 2</w:t>
            </w:r>
          </w:p>
        </w:tc>
      </w:tr>
    </w:tbl>
    <w:p w:rsidR="008C7444" w:rsidRPr="008C7444" w:rsidRDefault="008C7444" w:rsidP="008C7444"/>
    <w:p w:rsidR="00835062" w:rsidRDefault="00607394" w:rsidP="00835062">
      <w:pPr>
        <w:pStyle w:val="Heading1"/>
      </w:pPr>
      <w:r>
        <w:t>6.</w:t>
      </w:r>
      <w:r>
        <w:tab/>
      </w:r>
      <w:r w:rsidR="00835062">
        <w:t>Discussion</w:t>
      </w:r>
    </w:p>
    <w:p w:rsidR="001926AE" w:rsidRDefault="001926AE" w:rsidP="001926AE">
      <w:r>
        <w:t>The NZE design satisfies the three EU 2020 targets</w:t>
      </w:r>
      <w:r w:rsidR="00FD529B">
        <w:t xml:space="preserve"> and achieve long-term UK climate change target of CO</w:t>
      </w:r>
      <w:r w:rsidR="00FD529B" w:rsidRPr="006F23D2">
        <w:rPr>
          <w:vertAlign w:val="subscript"/>
        </w:rPr>
        <w:t>2</w:t>
      </w:r>
      <w:r w:rsidR="00FD529B">
        <w:t xml:space="preserve"> emissions reduction by 80%.</w:t>
      </w:r>
      <w:r w:rsidR="00CA2F0D">
        <w:t xml:space="preserve"> </w:t>
      </w:r>
      <w:r>
        <w:t>In detail, this means</w:t>
      </w:r>
      <w:r w:rsidR="00601010">
        <w:t xml:space="preserve"> </w:t>
      </w:r>
      <w:r w:rsidR="00CA2F0D">
        <w:t xml:space="preserve">that </w:t>
      </w:r>
      <w:r w:rsidR="00F44506">
        <w:t>as compared to</w:t>
      </w:r>
      <w:r w:rsidR="00601010">
        <w:t xml:space="preserve"> the baseline model (designed to surpass 1990 levels)</w:t>
      </w:r>
      <w:r>
        <w:t xml:space="preserve">: </w:t>
      </w:r>
    </w:p>
    <w:p w:rsidR="001926AE" w:rsidRDefault="00601010" w:rsidP="001926AE">
      <w:pPr>
        <w:pStyle w:val="ListParagraph"/>
        <w:numPr>
          <w:ilvl w:val="0"/>
          <w:numId w:val="10"/>
        </w:numPr>
      </w:pPr>
      <w:r>
        <w:t>T</w:t>
      </w:r>
      <w:r w:rsidR="001926AE">
        <w:t xml:space="preserve">he reduction in </w:t>
      </w:r>
      <w:r w:rsidR="00F46D99">
        <w:t xml:space="preserve">total energy </w:t>
      </w:r>
      <w:r w:rsidR="001926AE">
        <w:t>consumption (not including generation) resulted in a CO</w:t>
      </w:r>
      <w:r w:rsidR="001926AE" w:rsidRPr="006F23D2">
        <w:rPr>
          <w:vertAlign w:val="subscript"/>
        </w:rPr>
        <w:t>2</w:t>
      </w:r>
      <w:r w:rsidR="001926AE">
        <w:t xml:space="preserve"> emissions reduction of </w:t>
      </w:r>
      <w:r w:rsidR="00F46D99">
        <w:t>37</w:t>
      </w:r>
      <w:r w:rsidR="001926AE">
        <w:t xml:space="preserve">% for Dwelling A and </w:t>
      </w:r>
      <w:r w:rsidR="00F46D99">
        <w:t>35</w:t>
      </w:r>
      <w:r w:rsidR="001926AE">
        <w:t>% for Dwelling B (</w:t>
      </w:r>
      <w:r w:rsidR="00E92C16">
        <w:t>emission</w:t>
      </w:r>
      <w:r w:rsidR="001926AE">
        <w:t xml:space="preserve"> factors </w:t>
      </w:r>
      <w:r w:rsidR="001926AE">
        <w:fldChar w:fldCharType="begin"/>
      </w:r>
      <w:r w:rsidR="002766EC">
        <w:instrText xml:space="preserve"> ADDIN EN.CITE &lt;EndNote&gt;&lt;Cite&gt;&lt;Author&gt;BRE&lt;/Author&gt;&lt;Year&gt;2014&lt;/Year&gt;&lt;RecNum&gt;249&lt;/RecNum&gt;&lt;DisplayText&gt;[33]&lt;/DisplayText&gt;&lt;record&gt;&lt;rec-number&gt;249&lt;/rec-number&gt;&lt;foreign-keys&gt;&lt;key app="EN" db-id="dtvfvp55j2tw0ned5ruxvv51zwdxaxr9wft0" timestamp="1492623031"&gt;249&lt;/key&gt;&lt;/foreign-keys&gt;&lt;ref-type name="Government Document"&gt;46&lt;/ref-type&gt;&lt;contributors&gt;&lt;authors&gt;&lt;author&gt;BRE&lt;/author&gt;&lt;/authors&gt;&lt;secondary-authors&gt;&lt;author&gt;Department for Business, Energy and Industrial Strategy&lt;/author&gt;&lt;/secondary-authors&gt;&lt;/contributors&gt;&lt;titles&gt;&lt;title&gt;The Government’s Standard Assessment Procedure for Energy Rating of Dwellings: 2012 edition&lt;/title&gt;&lt;/titles&gt;&lt;pages&gt;232&lt;/pages&gt;&lt;dates&gt;&lt;year&gt;2014&lt;/year&gt;&lt;/dates&gt;&lt;pub-location&gt;Watford&lt;/pub-location&gt;&lt;publisher&gt;Building Research Establishment&lt;/publisher&gt;&lt;urls&gt;&lt;related-urls&gt;&lt;url&gt;https://www.bre.co.uk/filelibrary/SAP/2012/SAP-2012_9-92.pdf&lt;/url&gt;&lt;/related-urls&gt;&lt;/urls&gt;&lt;/record&gt;&lt;/Cite&gt;&lt;/EndNote&gt;</w:instrText>
      </w:r>
      <w:r w:rsidR="001926AE">
        <w:fldChar w:fldCharType="separate"/>
      </w:r>
      <w:r w:rsidR="002766EC">
        <w:rPr>
          <w:noProof/>
        </w:rPr>
        <w:t>[33]</w:t>
      </w:r>
      <w:r w:rsidR="001926AE">
        <w:fldChar w:fldCharType="end"/>
      </w:r>
      <w:r w:rsidR="001926AE">
        <w:t xml:space="preserve">). </w:t>
      </w:r>
      <w:r w:rsidR="00F46D99">
        <w:t xml:space="preserve">This satisfies </w:t>
      </w:r>
      <w:r w:rsidR="001926AE">
        <w:t xml:space="preserve">‘reduce </w:t>
      </w:r>
      <w:r w:rsidR="00E92C16">
        <w:t>greenhouse gas emissions by 20%</w:t>
      </w:r>
      <w:r w:rsidR="001926AE">
        <w:t>’</w:t>
      </w:r>
      <w:r w:rsidR="00E92C16">
        <w:t>;</w:t>
      </w:r>
      <w:r w:rsidR="001926AE">
        <w:t xml:space="preserve"> </w:t>
      </w:r>
    </w:p>
    <w:p w:rsidR="001926AE" w:rsidRDefault="00601010" w:rsidP="001926AE">
      <w:pPr>
        <w:pStyle w:val="ListParagraph"/>
        <w:numPr>
          <w:ilvl w:val="0"/>
          <w:numId w:val="10"/>
        </w:numPr>
      </w:pPr>
      <w:r>
        <w:t>The</w:t>
      </w:r>
      <w:r w:rsidR="00F46D99">
        <w:t xml:space="preserve"> reduction in total energy consumption </w:t>
      </w:r>
      <w:r w:rsidR="001926AE">
        <w:t xml:space="preserve">resulted in an energy efficiency increase of </w:t>
      </w:r>
      <w:r w:rsidR="009E584F">
        <w:t>3</w:t>
      </w:r>
      <w:r w:rsidR="00F46D99">
        <w:t>5</w:t>
      </w:r>
      <w:r w:rsidR="001926AE">
        <w:t xml:space="preserve">% for Dwelling A and </w:t>
      </w:r>
      <w:r w:rsidR="009E584F">
        <w:t>3</w:t>
      </w:r>
      <w:r w:rsidR="00F46D99">
        <w:t xml:space="preserve">3% for Dwelling B. Regulated energy consumption alone resulted in an </w:t>
      </w:r>
      <w:r w:rsidR="00F46D99">
        <w:lastRenderedPageBreak/>
        <w:t>energy efficiency increase of 31% for Dwelling A and 30% for Dwelling B. Either condition satisfies</w:t>
      </w:r>
      <w:r w:rsidR="001926AE">
        <w:t xml:space="preserve"> ‘in</w:t>
      </w:r>
      <w:r w:rsidR="00E92C16">
        <w:t>crease energy efficiency by 20%</w:t>
      </w:r>
      <w:r w:rsidR="001926AE">
        <w:t>’</w:t>
      </w:r>
      <w:r w:rsidR="00E92C16">
        <w:t>;</w:t>
      </w:r>
      <w:r w:rsidR="001926AE">
        <w:t xml:space="preserve"> and </w:t>
      </w:r>
    </w:p>
    <w:p w:rsidR="001926AE" w:rsidRDefault="00F81D14" w:rsidP="001926AE">
      <w:pPr>
        <w:pStyle w:val="ListParagraph"/>
        <w:numPr>
          <w:ilvl w:val="0"/>
          <w:numId w:val="10"/>
        </w:numPr>
      </w:pPr>
      <w:r>
        <w:t>The</w:t>
      </w:r>
      <w:r w:rsidR="00411C72">
        <w:t xml:space="preserve"> </w:t>
      </w:r>
      <w:r w:rsidR="001926AE">
        <w:t xml:space="preserve">contribution from renewables </w:t>
      </w:r>
      <w:r w:rsidR="00B152A7">
        <w:t xml:space="preserve">is </w:t>
      </w:r>
      <w:r w:rsidR="00465951">
        <w:t>equivalent to total</w:t>
      </w:r>
      <w:r w:rsidR="001926AE">
        <w:t xml:space="preserve"> final energy consumption of </w:t>
      </w:r>
      <w:r w:rsidR="00465951">
        <w:t>62% for Dwelling A and 77% for Dwelling B. This s</w:t>
      </w:r>
      <w:r w:rsidR="001926AE">
        <w:t xml:space="preserve">atisfies </w:t>
      </w:r>
      <w:r w:rsidR="00746D95">
        <w:t xml:space="preserve">the criteria of </w:t>
      </w:r>
      <w:r w:rsidR="001926AE">
        <w:t>‘increase contribution from renewable energy sources equivalent to 20% of final energy consumption.’</w:t>
      </w:r>
    </w:p>
    <w:p w:rsidR="009245C5" w:rsidRDefault="009245C5" w:rsidP="009245C5">
      <w:r>
        <w:t xml:space="preserve">The findings above reveal that to meet the specific targets set out for the </w:t>
      </w:r>
      <w:r w:rsidR="002D6163">
        <w:t xml:space="preserve">study </w:t>
      </w:r>
      <w:r>
        <w:t>aligned with the EU Directive:</w:t>
      </w:r>
    </w:p>
    <w:p w:rsidR="009245C5" w:rsidRDefault="009245C5" w:rsidP="009245C5">
      <w:pPr>
        <w:pStyle w:val="ListParagraph"/>
        <w:numPr>
          <w:ilvl w:val="0"/>
          <w:numId w:val="11"/>
        </w:numPr>
      </w:pPr>
      <w:r>
        <w:t>A majority of technological intervention must come from community renewabl</w:t>
      </w:r>
      <w:r w:rsidR="00343ACC">
        <w:t>es, as the dwellings themselves</w:t>
      </w:r>
      <w:r>
        <w:t xml:space="preserve"> could not spatially support the necessary generation requirement on the roof;</w:t>
      </w:r>
    </w:p>
    <w:p w:rsidR="009245C5" w:rsidRDefault="00E92C16" w:rsidP="009245C5">
      <w:pPr>
        <w:pStyle w:val="ListParagraph"/>
        <w:numPr>
          <w:ilvl w:val="0"/>
          <w:numId w:val="11"/>
        </w:numPr>
      </w:pPr>
      <w:r>
        <w:t>D</w:t>
      </w:r>
      <w:r w:rsidR="00595EF3">
        <w:t>wellings</w:t>
      </w:r>
      <w:r w:rsidR="009245C5">
        <w:t xml:space="preserve"> built to current UK Building Regulations will need to reduc</w:t>
      </w:r>
      <w:r>
        <w:t xml:space="preserve">e regulated loads by </w:t>
      </w:r>
      <w:r w:rsidR="00343ACC">
        <w:t>a little over one-</w:t>
      </w:r>
      <w:r>
        <w:t>half;</w:t>
      </w:r>
      <w:r w:rsidR="009245C5">
        <w:t xml:space="preserve"> and</w:t>
      </w:r>
    </w:p>
    <w:p w:rsidR="009245C5" w:rsidRDefault="00E92C16" w:rsidP="009245C5">
      <w:pPr>
        <w:pStyle w:val="ListParagraph"/>
        <w:numPr>
          <w:ilvl w:val="0"/>
          <w:numId w:val="11"/>
        </w:numPr>
      </w:pPr>
      <w:r>
        <w:t>T</w:t>
      </w:r>
      <w:r w:rsidR="009245C5">
        <w:t>hough the modelled dwellings resulted in greater reductions than necessary, the NZE targets in particular are not as stringent regarding energy efficiency but are highly expectant with regard to renewable energy.</w:t>
      </w:r>
    </w:p>
    <w:p w:rsidR="009245C5" w:rsidRPr="006F18F7" w:rsidRDefault="00595EF3" w:rsidP="006713DF">
      <w:r>
        <w:t>In a</w:t>
      </w:r>
      <w:r w:rsidR="00055024">
        <w:t xml:space="preserve"> </w:t>
      </w:r>
      <w:r w:rsidR="00E050EB">
        <w:t>housing</w:t>
      </w:r>
      <w:r>
        <w:t xml:space="preserve"> development like the one in this case study with a devoted energy centre, community renewables </w:t>
      </w:r>
      <w:r w:rsidR="00AB1963">
        <w:t>contribution made the task easier to achieve</w:t>
      </w:r>
      <w:r>
        <w:t xml:space="preserve">. </w:t>
      </w:r>
      <w:r w:rsidR="00E050EB">
        <w:t xml:space="preserve">The </w:t>
      </w:r>
      <w:r>
        <w:t xml:space="preserve">study </w:t>
      </w:r>
      <w:r w:rsidR="00E050EB">
        <w:t xml:space="preserve">also </w:t>
      </w:r>
      <w:r>
        <w:t xml:space="preserve">supports the findings in </w:t>
      </w:r>
      <w:proofErr w:type="spellStart"/>
      <w:r w:rsidR="004C1BBA">
        <w:t>Kapsalaki</w:t>
      </w:r>
      <w:proofErr w:type="spellEnd"/>
      <w:r w:rsidR="004C1BBA">
        <w:t xml:space="preserve"> and Leal </w:t>
      </w:r>
      <w:r w:rsidR="004C1BBA">
        <w:fldChar w:fldCharType="begin"/>
      </w:r>
      <w:r w:rsidR="00704A4F">
        <w:instrText xml:space="preserve"> ADDIN EN.CITE &lt;EndNote&gt;&lt;Cite&gt;&lt;Author&gt;Kapsalaki&lt;/Author&gt;&lt;Year&gt;2011&lt;/Year&gt;&lt;RecNum&gt;257&lt;/RecNum&gt;&lt;DisplayText&gt;[3]&lt;/DisplayText&gt;&lt;record&gt;&lt;rec-number&gt;257&lt;/rec-number&gt;&lt;foreign-keys&gt;&lt;key app="EN" db-id="dtvfvp55j2tw0ned5ruxvv51zwdxaxr9wft0" timestamp="1492785081"&gt;257&lt;/key&gt;&lt;/foreign-keys&gt;&lt;ref-type name="Journal Article"&gt;17&lt;/ref-type&gt;&lt;contributors&gt;&lt;authors&gt;&lt;author&gt;Kapsalaki, Maria&lt;/author&gt;&lt;author&gt;Leal, Vitor&lt;/author&gt;&lt;/authors&gt;&lt;/contributors&gt;&lt;titles&gt;&lt;title&gt;Recent progress on net zero energy buildings&lt;/title&gt;&lt;secondary-title&gt;Advances in Building Energy Research&lt;/secondary-title&gt;&lt;/titles&gt;&lt;periodical&gt;&lt;full-title&gt;Advances in Building Energy Research&lt;/full-title&gt;&lt;/periodical&gt;&lt;pages&gt;129-162&lt;/pages&gt;&lt;volume&gt;5&lt;/volume&gt;&lt;number&gt;1&lt;/number&gt;&lt;dates&gt;&lt;year&gt;2011&lt;/year&gt;&lt;/dates&gt;&lt;isbn&gt;1751-2549&lt;/isbn&gt;&lt;urls&gt;&lt;/urls&gt;&lt;/record&gt;&lt;/Cite&gt;&lt;/EndNote&gt;</w:instrText>
      </w:r>
      <w:r w:rsidR="004C1BBA">
        <w:fldChar w:fldCharType="separate"/>
      </w:r>
      <w:r w:rsidR="00704A4F">
        <w:rPr>
          <w:noProof/>
        </w:rPr>
        <w:t>[3]</w:t>
      </w:r>
      <w:r w:rsidR="004C1BBA">
        <w:fldChar w:fldCharType="end"/>
      </w:r>
      <w:r w:rsidRPr="00595EF3">
        <w:t xml:space="preserve"> </w:t>
      </w:r>
      <w:r>
        <w:t xml:space="preserve">which </w:t>
      </w:r>
      <w:r w:rsidRPr="00595EF3">
        <w:t>examined</w:t>
      </w:r>
      <w:r>
        <w:t xml:space="preserve"> the success of dwellings</w:t>
      </w:r>
      <w:r w:rsidRPr="00595EF3">
        <w:t xml:space="preserve"> </w:t>
      </w:r>
      <w:r>
        <w:t xml:space="preserve">designed to be NZE </w:t>
      </w:r>
      <w:r w:rsidRPr="00595EF3">
        <w:t xml:space="preserve">in </w:t>
      </w:r>
      <w:r>
        <w:t>a number of countries. Many of the dwellings were able to achieve the NZE title; furthermore, it was found that combining standard design with a sufficient offset of on-site renewables often made t</w:t>
      </w:r>
      <w:r w:rsidR="00343ACC">
        <w:t>he goal practically achievable. The positive aspect of combining the NZE approach with the EU 2020 targets is to ensure level reductions throughout, covering efficiency and emissions, rather than simply covering all consumption with renewables.</w:t>
      </w:r>
    </w:p>
    <w:p w:rsidR="00303C6F" w:rsidRPr="00684A40" w:rsidRDefault="001950DA" w:rsidP="00303C6F">
      <w:pPr>
        <w:pStyle w:val="Mainbodytext"/>
        <w:spacing w:after="200" w:line="276" w:lineRule="auto"/>
        <w:ind w:firstLine="0"/>
        <w:jc w:val="left"/>
        <w:rPr>
          <w:rFonts w:asciiTheme="minorHAnsi" w:hAnsiTheme="minorHAnsi"/>
          <w:sz w:val="22"/>
        </w:rPr>
      </w:pPr>
      <w:r>
        <w:rPr>
          <w:rFonts w:asciiTheme="minorHAnsi" w:hAnsiTheme="minorHAnsi"/>
          <w:sz w:val="22"/>
        </w:rPr>
        <w:t>D</w:t>
      </w:r>
      <w:r w:rsidR="00303C6F" w:rsidRPr="00303C6F">
        <w:rPr>
          <w:rFonts w:asciiTheme="minorHAnsi" w:hAnsiTheme="minorHAnsi"/>
          <w:sz w:val="22"/>
        </w:rPr>
        <w:t>esign ha</w:t>
      </w:r>
      <w:r>
        <w:rPr>
          <w:rFonts w:asciiTheme="minorHAnsi" w:hAnsiTheme="minorHAnsi"/>
          <w:sz w:val="22"/>
        </w:rPr>
        <w:t>d</w:t>
      </w:r>
      <w:r w:rsidR="00303C6F" w:rsidRPr="00303C6F">
        <w:rPr>
          <w:rFonts w:asciiTheme="minorHAnsi" w:hAnsiTheme="minorHAnsi"/>
          <w:sz w:val="22"/>
        </w:rPr>
        <w:t xml:space="preserve"> a heavy influence on </w:t>
      </w:r>
      <w:r>
        <w:rPr>
          <w:rFonts w:asciiTheme="minorHAnsi" w:hAnsiTheme="minorHAnsi"/>
          <w:sz w:val="22"/>
        </w:rPr>
        <w:t xml:space="preserve">tackling </w:t>
      </w:r>
      <w:r w:rsidR="00A36F29">
        <w:rPr>
          <w:rFonts w:asciiTheme="minorHAnsi" w:hAnsiTheme="minorHAnsi"/>
          <w:sz w:val="22"/>
        </w:rPr>
        <w:t xml:space="preserve">the risk of summertime </w:t>
      </w:r>
      <w:r w:rsidR="00303C6F" w:rsidRPr="00303C6F">
        <w:rPr>
          <w:rFonts w:asciiTheme="minorHAnsi" w:hAnsiTheme="minorHAnsi"/>
          <w:sz w:val="22"/>
        </w:rPr>
        <w:t>overheating</w:t>
      </w:r>
      <w:r w:rsidR="00303C6F">
        <w:rPr>
          <w:rFonts w:asciiTheme="minorHAnsi" w:hAnsiTheme="minorHAnsi"/>
          <w:sz w:val="22"/>
        </w:rPr>
        <w:t>,</w:t>
      </w:r>
      <w:r w:rsidR="00303C6F" w:rsidRPr="00303C6F">
        <w:rPr>
          <w:rFonts w:asciiTheme="minorHAnsi" w:hAnsiTheme="minorHAnsi"/>
          <w:sz w:val="22"/>
        </w:rPr>
        <w:t xml:space="preserve"> </w:t>
      </w:r>
      <w:r w:rsidR="00783F5D">
        <w:rPr>
          <w:rFonts w:asciiTheme="minorHAnsi" w:hAnsiTheme="minorHAnsi"/>
          <w:sz w:val="22"/>
        </w:rPr>
        <w:t xml:space="preserve">and </w:t>
      </w:r>
      <w:r w:rsidR="00303C6F" w:rsidRPr="00303C6F">
        <w:rPr>
          <w:rFonts w:asciiTheme="minorHAnsi" w:hAnsiTheme="minorHAnsi"/>
          <w:sz w:val="22"/>
        </w:rPr>
        <w:t xml:space="preserve">given </w:t>
      </w:r>
      <w:r w:rsidR="0054617D">
        <w:rPr>
          <w:rFonts w:asciiTheme="minorHAnsi" w:hAnsiTheme="minorHAnsi"/>
          <w:sz w:val="22"/>
        </w:rPr>
        <w:t>the prevalence of overheating in</w:t>
      </w:r>
      <w:r w:rsidR="00303C6F">
        <w:rPr>
          <w:rFonts w:asciiTheme="minorHAnsi" w:hAnsiTheme="minorHAnsi"/>
          <w:sz w:val="22"/>
        </w:rPr>
        <w:t xml:space="preserve"> </w:t>
      </w:r>
      <w:r w:rsidR="00A325AD">
        <w:rPr>
          <w:rFonts w:asciiTheme="minorHAnsi" w:hAnsiTheme="minorHAnsi"/>
          <w:sz w:val="22"/>
        </w:rPr>
        <w:t xml:space="preserve">new, retrofitted and </w:t>
      </w:r>
      <w:r w:rsidR="00303C6F">
        <w:rPr>
          <w:rFonts w:asciiTheme="minorHAnsi" w:hAnsiTheme="minorHAnsi"/>
          <w:sz w:val="22"/>
        </w:rPr>
        <w:t xml:space="preserve">high-performing dwellings in the current climate </w:t>
      </w:r>
      <w:r w:rsidR="000609A2">
        <w:rPr>
          <w:rFonts w:asciiTheme="minorHAnsi" w:hAnsiTheme="minorHAnsi"/>
          <w:sz w:val="22"/>
        </w:rPr>
        <w:fldChar w:fldCharType="begin">
          <w:fldData xml:space="preserve">PEVuZE5vdGU+PENpdGU+PEF1dGhvcj5TYW1lbmk8L0F1dGhvcj48WWVhcj4yMDE1PC9ZZWFyPjxS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</w:fldData>
        </w:fldChar>
      </w:r>
      <w:r w:rsidR="002766EC">
        <w:rPr>
          <w:rFonts w:asciiTheme="minorHAnsi" w:hAnsiTheme="minorHAnsi"/>
          <w:sz w:val="22"/>
        </w:rPr>
        <w:instrText xml:space="preserve"> ADDIN EN.CITE </w:instrText>
      </w:r>
      <w:r w:rsidR="002766EC">
        <w:rPr>
          <w:rFonts w:asciiTheme="minorHAnsi" w:hAnsiTheme="minorHAnsi"/>
          <w:sz w:val="22"/>
        </w:rPr>
        <w:fldChar w:fldCharType="begin">
          <w:fldData xml:space="preserve">PEVuZE5vdGU+PENpdGU+PEF1dGhvcj5TYW1lbmk8L0F1dGhvcj48WWVhcj4yMDE1PC9ZZWFyPjxS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</w:fldData>
        </w:fldChar>
      </w:r>
      <w:r w:rsidR="002766EC">
        <w:rPr>
          <w:rFonts w:asciiTheme="minorHAnsi" w:hAnsiTheme="minorHAnsi"/>
          <w:sz w:val="22"/>
        </w:rPr>
        <w:instrText xml:space="preserve"> ADDIN EN.CITE.DATA </w:instrText>
      </w:r>
      <w:r w:rsidR="002766EC">
        <w:rPr>
          <w:rFonts w:asciiTheme="minorHAnsi" w:hAnsiTheme="minorHAnsi"/>
          <w:sz w:val="22"/>
        </w:rPr>
      </w:r>
      <w:r w:rsidR="002766EC">
        <w:rPr>
          <w:rFonts w:asciiTheme="minorHAnsi" w:hAnsiTheme="minorHAnsi"/>
          <w:sz w:val="22"/>
        </w:rPr>
        <w:fldChar w:fldCharType="end"/>
      </w:r>
      <w:r w:rsidR="000609A2">
        <w:rPr>
          <w:rFonts w:asciiTheme="minorHAnsi" w:hAnsiTheme="minorHAnsi"/>
          <w:sz w:val="22"/>
        </w:rPr>
      </w:r>
      <w:r w:rsidR="000609A2">
        <w:rPr>
          <w:rFonts w:asciiTheme="minorHAnsi" w:hAnsiTheme="minorHAnsi"/>
          <w:sz w:val="22"/>
        </w:rPr>
        <w:fldChar w:fldCharType="separate"/>
      </w:r>
      <w:r w:rsidR="002766EC">
        <w:rPr>
          <w:rFonts w:asciiTheme="minorHAnsi" w:hAnsiTheme="minorHAnsi"/>
          <w:noProof/>
          <w:sz w:val="22"/>
        </w:rPr>
        <w:t>[16, 34, 35]</w:t>
      </w:r>
      <w:r w:rsidR="000609A2">
        <w:rPr>
          <w:rFonts w:asciiTheme="minorHAnsi" w:hAnsiTheme="minorHAnsi"/>
          <w:sz w:val="22"/>
        </w:rPr>
        <w:fldChar w:fldCharType="end"/>
      </w:r>
      <w:proofErr w:type="gramStart"/>
      <w:r w:rsidR="00303C6F" w:rsidRPr="00303C6F">
        <w:rPr>
          <w:rFonts w:asciiTheme="minorHAnsi" w:hAnsiTheme="minorHAnsi"/>
          <w:sz w:val="22"/>
        </w:rPr>
        <w:t>,</w:t>
      </w:r>
      <w:proofErr w:type="gramEnd"/>
      <w:r w:rsidR="00303C6F" w:rsidRPr="00303C6F">
        <w:rPr>
          <w:rFonts w:asciiTheme="minorHAnsi" w:hAnsiTheme="minorHAnsi"/>
          <w:sz w:val="22"/>
        </w:rPr>
        <w:t xml:space="preserve"> adaptive measures would definitely have their place in current new-build. </w:t>
      </w:r>
      <w:r w:rsidR="00D32D8E">
        <w:rPr>
          <w:rFonts w:asciiTheme="minorHAnsi" w:hAnsiTheme="minorHAnsi"/>
          <w:sz w:val="22"/>
        </w:rPr>
        <w:t xml:space="preserve">The advanced insulation technology selected for the project had a highly reflective surface for reducing the impact of solar gain on the opaque wall surface. It is expected that this technology will benefit the dwellings as the climate </w:t>
      </w:r>
      <w:r w:rsidR="000C7A3E">
        <w:rPr>
          <w:rFonts w:asciiTheme="minorHAnsi" w:hAnsiTheme="minorHAnsi"/>
          <w:sz w:val="22"/>
        </w:rPr>
        <w:t>warms</w:t>
      </w:r>
      <w:r w:rsidR="00D32D8E">
        <w:rPr>
          <w:rFonts w:asciiTheme="minorHAnsi" w:hAnsiTheme="minorHAnsi"/>
          <w:sz w:val="22"/>
        </w:rPr>
        <w:t xml:space="preserve">. It does </w:t>
      </w:r>
      <w:r w:rsidR="00B152A7">
        <w:rPr>
          <w:rFonts w:asciiTheme="minorHAnsi" w:hAnsiTheme="minorHAnsi"/>
          <w:sz w:val="22"/>
        </w:rPr>
        <w:t>appear;</w:t>
      </w:r>
      <w:r w:rsidR="00D32D8E">
        <w:rPr>
          <w:rFonts w:asciiTheme="minorHAnsi" w:hAnsiTheme="minorHAnsi"/>
          <w:sz w:val="22"/>
        </w:rPr>
        <w:t xml:space="preserve"> however, that further implementation of passive measures would be useful beyond the 2050s climate period. </w:t>
      </w:r>
      <w:r w:rsidR="00303C6F" w:rsidRPr="00303C6F">
        <w:rPr>
          <w:rFonts w:asciiTheme="minorHAnsi" w:hAnsiTheme="minorHAnsi"/>
          <w:sz w:val="22"/>
        </w:rPr>
        <w:t>Passive des</w:t>
      </w:r>
      <w:r w:rsidR="00A325AD">
        <w:rPr>
          <w:rFonts w:asciiTheme="minorHAnsi" w:hAnsiTheme="minorHAnsi"/>
          <w:sz w:val="22"/>
        </w:rPr>
        <w:t>ign strategies such as designed-</w:t>
      </w:r>
      <w:r w:rsidR="00303C6F" w:rsidRPr="00303C6F">
        <w:rPr>
          <w:rFonts w:asciiTheme="minorHAnsi" w:hAnsiTheme="minorHAnsi"/>
          <w:sz w:val="22"/>
        </w:rPr>
        <w:t>in</w:t>
      </w:r>
      <w:r w:rsidR="00A325AD">
        <w:rPr>
          <w:rFonts w:asciiTheme="minorHAnsi" w:hAnsiTheme="minorHAnsi"/>
          <w:sz w:val="22"/>
        </w:rPr>
        <w:t xml:space="preserve"> seasonal</w:t>
      </w:r>
      <w:r w:rsidR="00303C6F" w:rsidRPr="00303C6F">
        <w:rPr>
          <w:rFonts w:asciiTheme="minorHAnsi" w:hAnsiTheme="minorHAnsi"/>
          <w:sz w:val="22"/>
        </w:rPr>
        <w:t xml:space="preserve"> shading and light coloured surfaces</w:t>
      </w:r>
      <w:r w:rsidR="008C1317">
        <w:rPr>
          <w:rFonts w:asciiTheme="minorHAnsi" w:hAnsiTheme="minorHAnsi"/>
          <w:sz w:val="22"/>
        </w:rPr>
        <w:t xml:space="preserve"> </w:t>
      </w:r>
      <w:r w:rsidR="00303C6F" w:rsidRPr="00303C6F">
        <w:rPr>
          <w:rFonts w:asciiTheme="minorHAnsi" w:hAnsiTheme="minorHAnsi"/>
          <w:sz w:val="22"/>
        </w:rPr>
        <w:t xml:space="preserve">evaluated elsewhere </w:t>
      </w:r>
      <w:r w:rsidR="00303C6F" w:rsidRPr="00303C6F">
        <w:rPr>
          <w:rFonts w:asciiTheme="minorHAnsi" w:hAnsiTheme="minorHAnsi"/>
          <w:sz w:val="22"/>
        </w:rPr>
        <w:fldChar w:fldCharType="begin">
          <w:fldData xml:space="preserve">PEVuZE5vdGU+PENpdGU+PEF1dGhvcj5Qb3JyaXR0PC9BdXRob3I+PFllYXI+MjAxMjwvWWVhcj48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</w:fldData>
        </w:fldChar>
      </w:r>
      <w:r w:rsidR="002766EC">
        <w:rPr>
          <w:rFonts w:asciiTheme="minorHAnsi" w:hAnsiTheme="minorHAnsi"/>
          <w:sz w:val="22"/>
        </w:rPr>
        <w:instrText xml:space="preserve"> ADDIN EN.CITE </w:instrText>
      </w:r>
      <w:r w:rsidR="002766EC">
        <w:rPr>
          <w:rFonts w:asciiTheme="minorHAnsi" w:hAnsiTheme="minorHAnsi"/>
          <w:sz w:val="22"/>
        </w:rPr>
        <w:fldChar w:fldCharType="begin">
          <w:fldData xml:space="preserve">PEVuZE5vdGU+PENpdGU+PEF1dGhvcj5Qb3JyaXR0PC9BdXRob3I+PFllYXI+MjAxMjwvWWVhcj48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</w:fldData>
        </w:fldChar>
      </w:r>
      <w:r w:rsidR="002766EC">
        <w:rPr>
          <w:rFonts w:asciiTheme="minorHAnsi" w:hAnsiTheme="minorHAnsi"/>
          <w:sz w:val="22"/>
        </w:rPr>
        <w:instrText xml:space="preserve"> ADDIN EN.CITE.DATA </w:instrText>
      </w:r>
      <w:r w:rsidR="002766EC">
        <w:rPr>
          <w:rFonts w:asciiTheme="minorHAnsi" w:hAnsiTheme="minorHAnsi"/>
          <w:sz w:val="22"/>
        </w:rPr>
      </w:r>
      <w:r w:rsidR="002766EC">
        <w:rPr>
          <w:rFonts w:asciiTheme="minorHAnsi" w:hAnsiTheme="minorHAnsi"/>
          <w:sz w:val="22"/>
        </w:rPr>
        <w:fldChar w:fldCharType="end"/>
      </w:r>
      <w:r w:rsidR="00303C6F" w:rsidRPr="00303C6F">
        <w:rPr>
          <w:rFonts w:asciiTheme="minorHAnsi" w:hAnsiTheme="minorHAnsi"/>
          <w:sz w:val="22"/>
        </w:rPr>
      </w:r>
      <w:r w:rsidR="00303C6F" w:rsidRPr="00303C6F">
        <w:rPr>
          <w:rFonts w:asciiTheme="minorHAnsi" w:hAnsiTheme="minorHAnsi"/>
          <w:sz w:val="22"/>
        </w:rPr>
        <w:fldChar w:fldCharType="separate"/>
      </w:r>
      <w:r w:rsidR="002766EC">
        <w:rPr>
          <w:rFonts w:asciiTheme="minorHAnsi" w:hAnsiTheme="minorHAnsi"/>
          <w:noProof/>
          <w:sz w:val="22"/>
        </w:rPr>
        <w:t>[13, 14, 36]</w:t>
      </w:r>
      <w:r w:rsidR="00303C6F" w:rsidRPr="00303C6F">
        <w:rPr>
          <w:rFonts w:asciiTheme="minorHAnsi" w:hAnsiTheme="minorHAnsi"/>
          <w:sz w:val="22"/>
        </w:rPr>
        <w:fldChar w:fldCharType="end"/>
      </w:r>
      <w:r w:rsidR="00303C6F" w:rsidRPr="00303C6F">
        <w:rPr>
          <w:rFonts w:asciiTheme="minorHAnsi" w:hAnsiTheme="minorHAnsi"/>
          <w:sz w:val="22"/>
        </w:rPr>
        <w:t>, continually prove effective.</w:t>
      </w:r>
      <w:r w:rsidR="00D32D8E">
        <w:rPr>
          <w:rFonts w:asciiTheme="minorHAnsi" w:hAnsiTheme="minorHAnsi"/>
          <w:sz w:val="22"/>
        </w:rPr>
        <w:t xml:space="preserve"> It </w:t>
      </w:r>
      <w:r w:rsidR="008C1317">
        <w:rPr>
          <w:rFonts w:asciiTheme="minorHAnsi" w:hAnsiTheme="minorHAnsi"/>
          <w:sz w:val="22"/>
        </w:rPr>
        <w:t>is also</w:t>
      </w:r>
      <w:r w:rsidR="00D32D8E">
        <w:rPr>
          <w:rFonts w:asciiTheme="minorHAnsi" w:hAnsiTheme="minorHAnsi"/>
          <w:sz w:val="22"/>
        </w:rPr>
        <w:t xml:space="preserve"> suggested that during a retrofit, potentially in thirty years that shading be used on the dwellings.</w:t>
      </w:r>
      <w:r w:rsidR="000B79E4">
        <w:rPr>
          <w:rFonts w:asciiTheme="minorHAnsi" w:hAnsiTheme="minorHAnsi"/>
          <w:sz w:val="22"/>
        </w:rPr>
        <w:t xml:space="preserve"> This</w:t>
      </w:r>
      <w:r w:rsidR="000B79E4" w:rsidRPr="000B79E4">
        <w:rPr>
          <w:rFonts w:asciiTheme="minorHAnsi" w:hAnsiTheme="minorHAnsi"/>
          <w:sz w:val="22"/>
        </w:rPr>
        <w:t xml:space="preserve"> approach has been explored in [37] where packages are phased in over changing climate periods to consider the impact of </w:t>
      </w:r>
      <w:r w:rsidR="008F57D4">
        <w:rPr>
          <w:rFonts w:asciiTheme="minorHAnsi" w:hAnsiTheme="minorHAnsi"/>
          <w:sz w:val="22"/>
        </w:rPr>
        <w:t>the packages</w:t>
      </w:r>
      <w:r w:rsidR="000B79E4" w:rsidRPr="000B79E4">
        <w:rPr>
          <w:rFonts w:asciiTheme="minorHAnsi" w:hAnsiTheme="minorHAnsi"/>
          <w:sz w:val="22"/>
        </w:rPr>
        <w:t xml:space="preserve"> on the dwellings</w:t>
      </w:r>
      <w:r w:rsidR="008F57D4">
        <w:rPr>
          <w:rFonts w:asciiTheme="minorHAnsi" w:hAnsiTheme="minorHAnsi"/>
          <w:sz w:val="22"/>
        </w:rPr>
        <w:t>’ energy performance and indoor temperatures</w:t>
      </w:r>
      <w:r w:rsidR="000B79E4" w:rsidRPr="000B79E4">
        <w:rPr>
          <w:rFonts w:asciiTheme="minorHAnsi" w:hAnsiTheme="minorHAnsi"/>
          <w:sz w:val="22"/>
        </w:rPr>
        <w:t>.</w:t>
      </w:r>
      <w:r w:rsidR="00303C6F" w:rsidRPr="00303C6F">
        <w:rPr>
          <w:rFonts w:asciiTheme="minorHAnsi" w:hAnsiTheme="minorHAnsi"/>
          <w:sz w:val="22"/>
        </w:rPr>
        <w:t xml:space="preserve"> It is also vital to engage with </w:t>
      </w:r>
      <w:r w:rsidR="000C7A3E">
        <w:rPr>
          <w:rFonts w:asciiTheme="minorHAnsi" w:hAnsiTheme="minorHAnsi"/>
          <w:sz w:val="22"/>
        </w:rPr>
        <w:t xml:space="preserve">future </w:t>
      </w:r>
      <w:r w:rsidR="00303C6F" w:rsidRPr="00303C6F">
        <w:rPr>
          <w:rFonts w:asciiTheme="minorHAnsi" w:hAnsiTheme="minorHAnsi"/>
          <w:sz w:val="22"/>
        </w:rPr>
        <w:t>occupant</w:t>
      </w:r>
      <w:r w:rsidR="00A325AD">
        <w:rPr>
          <w:rFonts w:asciiTheme="minorHAnsi" w:hAnsiTheme="minorHAnsi"/>
          <w:sz w:val="22"/>
        </w:rPr>
        <w:t>s</w:t>
      </w:r>
      <w:r w:rsidR="00303C6F" w:rsidRPr="00303C6F">
        <w:rPr>
          <w:rFonts w:asciiTheme="minorHAnsi" w:hAnsiTheme="minorHAnsi"/>
          <w:sz w:val="22"/>
        </w:rPr>
        <w:t xml:space="preserve"> about man</w:t>
      </w:r>
      <w:r w:rsidR="00343ACC">
        <w:rPr>
          <w:rFonts w:asciiTheme="minorHAnsi" w:hAnsiTheme="minorHAnsi"/>
          <w:sz w:val="22"/>
        </w:rPr>
        <w:t>aging heat during hot weather; o</w:t>
      </w:r>
      <w:r w:rsidR="00303C6F" w:rsidRPr="00303C6F">
        <w:rPr>
          <w:rFonts w:asciiTheme="minorHAnsi" w:hAnsiTheme="minorHAnsi"/>
          <w:sz w:val="22"/>
        </w:rPr>
        <w:t xml:space="preserve">ccupant behaviour is </w:t>
      </w:r>
      <w:r w:rsidR="00303C6F" w:rsidRPr="00684A40">
        <w:rPr>
          <w:rFonts w:asciiTheme="minorHAnsi" w:hAnsiTheme="minorHAnsi"/>
          <w:sz w:val="22"/>
        </w:rPr>
        <w:t>highly important when affecting the level of overheating</w:t>
      </w:r>
      <w:r w:rsidR="00A325AD" w:rsidRPr="00684A40">
        <w:rPr>
          <w:rFonts w:asciiTheme="minorHAnsi" w:hAnsiTheme="minorHAnsi"/>
          <w:sz w:val="22"/>
        </w:rPr>
        <w:t xml:space="preserve"> </w:t>
      </w:r>
      <w:r w:rsidR="00A325AD" w:rsidRPr="00684A40">
        <w:rPr>
          <w:rFonts w:asciiTheme="minorHAnsi" w:hAnsiTheme="minorHAnsi"/>
          <w:sz w:val="22"/>
        </w:rPr>
        <w:fldChar w:fldCharType="begin"/>
      </w:r>
      <w:r w:rsidR="002766EC">
        <w:rPr>
          <w:rFonts w:asciiTheme="minorHAnsi" w:hAnsiTheme="minorHAnsi"/>
          <w:sz w:val="22"/>
        </w:rPr>
        <w:instrText xml:space="preserve"> ADDIN EN.CITE &lt;EndNote&gt;&lt;Cite&gt;&lt;Author&gt;Dengel&lt;/Author&gt;&lt;Year&gt;2012&lt;/Year&gt;&lt;RecNum&gt;260&lt;/RecNum&gt;&lt;DisplayText&gt;[35]&lt;/DisplayText&gt;&lt;record&gt;&lt;rec-number&gt;260&lt;/rec-number&gt;&lt;foreign-keys&gt;&lt;key app="EN" db-id="dtvfvp55j2tw0ned5ruxvv51zwdxaxr9wft0" timestamp="1492796562"&gt;260&lt;/key&gt;&lt;/foreign-keys&gt;&lt;ref-type name="Journal Article"&gt;17&lt;/ref-type&gt;&lt;contributors&gt;&lt;authors&gt;&lt;author&gt;Dengel, Andy&lt;/author&gt;&lt;author&gt;Swainson, M&lt;/author&gt;&lt;/authors&gt;&lt;/contributors&gt;&lt;titles&gt;&lt;title&gt;Overheating in new homes: A review of the evidence&lt;/title&gt;&lt;secondary-title&gt;Research Review, Zero Carbon Hub&lt;/secondary-title&gt;&lt;/titles&gt;&lt;periodical&gt;&lt;full-title&gt;Research Review, Zero Carbon Hub&lt;/full-title&gt;&lt;/periodical&gt;&lt;dates&gt;&lt;year&gt;2012&lt;/year&gt;&lt;/dates&gt;&lt;urls&gt;&lt;/urls&gt;&lt;/record&gt;&lt;/Cite&gt;&lt;/EndNote&gt;</w:instrText>
      </w:r>
      <w:r w:rsidR="00A325AD" w:rsidRPr="00684A40">
        <w:rPr>
          <w:rFonts w:asciiTheme="minorHAnsi" w:hAnsiTheme="minorHAnsi"/>
          <w:sz w:val="22"/>
        </w:rPr>
        <w:fldChar w:fldCharType="separate"/>
      </w:r>
      <w:r w:rsidR="002766EC">
        <w:rPr>
          <w:rFonts w:asciiTheme="minorHAnsi" w:hAnsiTheme="minorHAnsi"/>
          <w:noProof/>
          <w:sz w:val="22"/>
        </w:rPr>
        <w:t>[35]</w:t>
      </w:r>
      <w:r w:rsidR="00A325AD" w:rsidRPr="00684A40">
        <w:rPr>
          <w:rFonts w:asciiTheme="minorHAnsi" w:hAnsiTheme="minorHAnsi"/>
          <w:sz w:val="22"/>
        </w:rPr>
        <w:fldChar w:fldCharType="end"/>
      </w:r>
      <w:r w:rsidR="00303C6F" w:rsidRPr="00684A40">
        <w:rPr>
          <w:rFonts w:asciiTheme="minorHAnsi" w:hAnsiTheme="minorHAnsi"/>
          <w:sz w:val="22"/>
        </w:rPr>
        <w:t xml:space="preserve">. </w:t>
      </w:r>
    </w:p>
    <w:p w:rsidR="006713DF" w:rsidRDefault="00607394" w:rsidP="006713DF">
      <w:pPr>
        <w:pStyle w:val="Heading1"/>
      </w:pPr>
      <w:r>
        <w:t>7.</w:t>
      </w:r>
      <w:r>
        <w:tab/>
      </w:r>
      <w:r w:rsidR="006713DF">
        <w:t>Conclusion</w:t>
      </w:r>
    </w:p>
    <w:p w:rsidR="00381DCD" w:rsidRDefault="006713DF" w:rsidP="009245C5">
      <w:r>
        <w:t xml:space="preserve">The paper has demonstrated </w:t>
      </w:r>
      <w:r w:rsidR="00185992">
        <w:t xml:space="preserve">a systematic </w:t>
      </w:r>
      <w:r>
        <w:t xml:space="preserve">approach to meeting UK and EU targets outlined in the introduction and discussion. Essentially, not only is it easier to meet these targets, particularly those regarding renewables, by integrating community scale renewables but it is also beneficial to meet </w:t>
      </w:r>
      <w:r>
        <w:lastRenderedPageBreak/>
        <w:t>targets on a community scale with regard to overall efficiency of implementation, utilisation of renewable energy, and economy of scale.</w:t>
      </w:r>
      <w:r w:rsidR="00650442">
        <w:t xml:space="preserve"> The paper further explored the impact of a changing climate in the UK on the energy efficiency and generation of the improved dwellings and the overheating risk potential. Overal</w:t>
      </w:r>
      <w:r w:rsidR="00C46945">
        <w:t>l</w:t>
      </w:r>
      <w:r w:rsidR="00650442">
        <w:t xml:space="preserve"> </w:t>
      </w:r>
      <w:r w:rsidR="00C46945">
        <w:t>b</w:t>
      </w:r>
      <w:r w:rsidR="00C46945" w:rsidRPr="00C46945">
        <w:t>y the 2080s</w:t>
      </w:r>
      <w:r w:rsidR="00C46945">
        <w:t>,</w:t>
      </w:r>
      <w:r w:rsidR="00C46945" w:rsidRPr="00C46945">
        <w:t xml:space="preserve"> both dwellings are projected to experience a reduction in regulated energy consumption and a small increase</w:t>
      </w:r>
      <w:r w:rsidR="00C46945">
        <w:t xml:space="preserve"> in renewable energy generation. Overheating risk has been shown to increase from none in the current climate to overheating in all rooms in both dwellings by the 2080s. </w:t>
      </w:r>
    </w:p>
    <w:p w:rsidR="009245C5" w:rsidRDefault="00C46945" w:rsidP="009245C5">
      <w:r>
        <w:t>Suggested f</w:t>
      </w:r>
      <w:r w:rsidR="009245C5">
        <w:t xml:space="preserve">urther work will include monitoring </w:t>
      </w:r>
      <w:r w:rsidR="00AB7A14">
        <w:t xml:space="preserve">of the performance of </w:t>
      </w:r>
      <w:r w:rsidR="007769D5">
        <w:t xml:space="preserve">the advanced energy </w:t>
      </w:r>
      <w:r w:rsidR="009245C5">
        <w:t>technologies</w:t>
      </w:r>
      <w:r w:rsidR="008F3F40">
        <w:t xml:space="preserve">, </w:t>
      </w:r>
      <w:r w:rsidR="00906103">
        <w:t>which will be undertaken as part of the wider Horizon 2020 project</w:t>
      </w:r>
      <w:r w:rsidR="009245C5">
        <w:t>. With the advancement of BEMS technology there is integration of more detailed management of energy consumption, e.g. smart phone control of BEMS and geolocation alerts. Evaluation of the impact of BEMS with these features would require monitoring due to the complex nature of actual us</w:t>
      </w:r>
      <w:r>
        <w:t xml:space="preserve">e and change in daily patterns. In addition, monitoring of </w:t>
      </w:r>
      <w:r w:rsidR="00595C44">
        <w:t xml:space="preserve">the risk  of </w:t>
      </w:r>
      <w:r>
        <w:t xml:space="preserve">overheating </w:t>
      </w:r>
      <w:r w:rsidR="002B1B33">
        <w:t xml:space="preserve">(through indoor and outdoor temperatures) </w:t>
      </w:r>
      <w:r>
        <w:t>in the current climate would also be of interest</w:t>
      </w:r>
      <w:r w:rsidR="00D27D1C">
        <w:t xml:space="preserve">, </w:t>
      </w:r>
      <w:r>
        <w:t>especially when considering the change made to the fabric and whether adaptation needs to be coupled with the approaches taken to reduce energy consumption.</w:t>
      </w:r>
    </w:p>
    <w:p w:rsidR="006713DF" w:rsidRDefault="006713DF" w:rsidP="006713DF">
      <w:pPr>
        <w:pStyle w:val="Heading1"/>
      </w:pPr>
      <w:r>
        <w:t>Acknowledgement</w:t>
      </w:r>
    </w:p>
    <w:p w:rsidR="006713DF" w:rsidRDefault="006713DF" w:rsidP="006713DF">
      <w:r>
        <w:t>The research study is part of the Zero Plus research project, which has received funding from the European Union's Horizon 2020 Research and Innovation programme under Grant Agreement No. 678407. The authors would also like to thank the developer and architect of the case study dwellings.</w:t>
      </w:r>
    </w:p>
    <w:p w:rsidR="008F48A0" w:rsidRDefault="00BC612E" w:rsidP="00E85F76">
      <w:pPr>
        <w:pStyle w:val="Heading1"/>
      </w:pPr>
      <w:r>
        <w:t>References</w:t>
      </w:r>
    </w:p>
    <w:p w:rsidR="00C530F7" w:rsidRPr="00C530F7" w:rsidRDefault="008F48A0" w:rsidP="00C530F7">
      <w:pPr>
        <w:pStyle w:val="EndNoteBibliography"/>
        <w:spacing w:after="0"/>
      </w:pPr>
      <w:r>
        <w:fldChar w:fldCharType="begin"/>
      </w:r>
      <w:r>
        <w:instrText xml:space="preserve"> ADDIN EN.REFLIST </w:instrText>
      </w:r>
      <w:r>
        <w:fldChar w:fldCharType="separate"/>
      </w:r>
      <w:r w:rsidR="00C530F7" w:rsidRPr="00C530F7">
        <w:t>[1] EC, Europe 2020 targets, in:  Europe 2020, European Commission, 2015.</w:t>
      </w:r>
    </w:p>
    <w:p w:rsidR="00C530F7" w:rsidRPr="00C530F7" w:rsidRDefault="00C530F7" w:rsidP="00C530F7">
      <w:pPr>
        <w:pStyle w:val="EndNoteBibliography"/>
        <w:spacing w:after="0"/>
      </w:pPr>
      <w:r w:rsidRPr="00C530F7">
        <w:t>[2] E. Recast, Directive 2010/31/EU of the European Parliament and of the Council of 19 May 2010 on the energy performance of buildings (recast), Official Journal of the European Union, 18 (06) (2010) 2010.</w:t>
      </w:r>
    </w:p>
    <w:p w:rsidR="00C530F7" w:rsidRPr="00C530F7" w:rsidRDefault="00C530F7" w:rsidP="00C530F7">
      <w:pPr>
        <w:pStyle w:val="EndNoteBibliography"/>
        <w:spacing w:after="0"/>
      </w:pPr>
      <w:r w:rsidRPr="00C530F7">
        <w:t>[3] M. Kapsalaki, V. Leal, Recent progress on net zero energy buildings, Advances in Building Energy Research, 5 (1) (2011) 129-162.</w:t>
      </w:r>
    </w:p>
    <w:p w:rsidR="00C530F7" w:rsidRPr="00C530F7" w:rsidRDefault="00C530F7" w:rsidP="00C530F7">
      <w:pPr>
        <w:pStyle w:val="EndNoteBibliography"/>
        <w:spacing w:after="0"/>
      </w:pPr>
      <w:r w:rsidRPr="00C530F7">
        <w:t>[4] J.M. Murphy, D. Sexton, G. Jenkins, B. Booth, C. Brown, R. Clark, M. Collins, G. Harris, E. Kendon, R. Betts, UK climate projections science report: climate change projections,  (2009).</w:t>
      </w:r>
    </w:p>
    <w:p w:rsidR="00C530F7" w:rsidRPr="00C530F7" w:rsidRDefault="00C530F7" w:rsidP="00C530F7">
      <w:pPr>
        <w:pStyle w:val="EndNoteBibliography"/>
        <w:spacing w:after="0"/>
      </w:pPr>
      <w:r w:rsidRPr="00C530F7">
        <w:t>[5] W. Stahl, K. Voss, A. Goetzberger, The self-sufficient solar house in Freiburg, Solar Energy, 52 (1) (1994) 111-125.</w:t>
      </w:r>
    </w:p>
    <w:p w:rsidR="00C530F7" w:rsidRPr="00C530F7" w:rsidRDefault="00C530F7" w:rsidP="00C530F7">
      <w:pPr>
        <w:pStyle w:val="EndNoteBibliography"/>
        <w:spacing w:after="0"/>
      </w:pPr>
      <w:r w:rsidRPr="00C530F7">
        <w:t>[6] B. Vale, R.J.D. Vale, The new autonomous house: Design and planning for sustainability, Thames &amp; Hudson, 2000.</w:t>
      </w:r>
    </w:p>
    <w:p w:rsidR="00C530F7" w:rsidRPr="00C530F7" w:rsidRDefault="00C530F7" w:rsidP="00C530F7">
      <w:pPr>
        <w:pStyle w:val="EndNoteBibliography"/>
        <w:spacing w:after="0"/>
      </w:pPr>
      <w:r w:rsidRPr="00C530F7">
        <w:t>[7] A.-F. Marique, S. Reiter, A simplified framework to assess the feasibility of zero-energy at the neighbourhood/community scale, Energy and Buildings, 82  (2014) 114-122.</w:t>
      </w:r>
    </w:p>
    <w:p w:rsidR="00C530F7" w:rsidRPr="00C530F7" w:rsidRDefault="00C530F7" w:rsidP="00C530F7">
      <w:pPr>
        <w:pStyle w:val="EndNoteBibliography"/>
        <w:spacing w:after="0"/>
      </w:pPr>
      <w:r w:rsidRPr="00C530F7">
        <w:t>[8] K. Voss, E. Musall, M. Lichtmeß, From low-energy to Net Zero-Energy Buildings: status and perspectives, Journal of Green building, 6 (1) (2011) 46-57.</w:t>
      </w:r>
    </w:p>
    <w:p w:rsidR="00C530F7" w:rsidRPr="00C530F7" w:rsidRDefault="00C530F7" w:rsidP="00C530F7">
      <w:pPr>
        <w:pStyle w:val="EndNoteBibliography"/>
        <w:spacing w:after="0"/>
      </w:pPr>
      <w:r w:rsidRPr="00C530F7">
        <w:t>[9] N. Malin, The Problem with Net-Zero Buildings (and the Case for Net-Zero Neighborhoods), Environmental building news, 19 (8) (2010) 1-15.</w:t>
      </w:r>
    </w:p>
    <w:p w:rsidR="00C530F7" w:rsidRPr="00C530F7" w:rsidRDefault="00C530F7" w:rsidP="00C530F7">
      <w:pPr>
        <w:pStyle w:val="EndNoteBibliography"/>
        <w:spacing w:after="0"/>
      </w:pPr>
      <w:r w:rsidRPr="00C530F7">
        <w:t>[10] S.A. Halasah, D. Pearlmutter, D. Feuermann, Field installation versus local integration of photovoltaic systems and their effect on energy evaluation metrics, Energy policy, 52  (2013) 462-471.</w:t>
      </w:r>
    </w:p>
    <w:p w:rsidR="00C530F7" w:rsidRPr="001D63DF" w:rsidRDefault="00C530F7" w:rsidP="00C530F7">
      <w:pPr>
        <w:pStyle w:val="EndNoteBibliography"/>
        <w:spacing w:after="0"/>
        <w:rPr>
          <w:rFonts w:asciiTheme="minorHAnsi" w:hAnsiTheme="minorHAnsi"/>
        </w:rPr>
      </w:pPr>
      <w:r w:rsidRPr="00C530F7">
        <w:lastRenderedPageBreak/>
        <w:t>[</w:t>
      </w:r>
      <w:r w:rsidRPr="001D63DF">
        <w:rPr>
          <w:rFonts w:asciiTheme="minorHAnsi" w:hAnsiTheme="minorHAnsi"/>
        </w:rPr>
        <w:t xml:space="preserve">11] </w:t>
      </w:r>
      <w:r w:rsidR="003418E9" w:rsidRPr="001D63DF">
        <w:rPr>
          <w:rFonts w:asciiTheme="minorHAnsi" w:hAnsiTheme="minorHAnsi"/>
        </w:rPr>
        <w:t xml:space="preserve">R. </w:t>
      </w:r>
      <w:r w:rsidR="003F1E05" w:rsidRPr="001D63DF">
        <w:rPr>
          <w:rFonts w:asciiTheme="minorHAnsi" w:hAnsiTheme="minorHAnsi" w:cs="Arial"/>
        </w:rPr>
        <w:t xml:space="preserve">Gupta, </w:t>
      </w:r>
      <w:r w:rsidR="003418E9" w:rsidRPr="001D63DF">
        <w:rPr>
          <w:rFonts w:asciiTheme="minorHAnsi" w:hAnsiTheme="minorHAnsi" w:cs="Arial"/>
        </w:rPr>
        <w:t>M. Kapsali</w:t>
      </w:r>
      <w:r w:rsidR="00C53B58" w:rsidRPr="001D63DF">
        <w:rPr>
          <w:rFonts w:asciiTheme="minorHAnsi" w:hAnsiTheme="minorHAnsi" w:cs="Arial"/>
        </w:rPr>
        <w:t xml:space="preserve">, </w:t>
      </w:r>
      <w:r w:rsidR="003F1E05" w:rsidRPr="001D63DF">
        <w:rPr>
          <w:rFonts w:asciiTheme="minorHAnsi" w:hAnsiTheme="minorHAnsi" w:cs="Arial"/>
        </w:rPr>
        <w:t xml:space="preserve">Empirical assessment of indoor air quality and overheating in low-carbon social housing dwellings in England, UK, </w:t>
      </w:r>
      <w:r w:rsidR="003F1E05" w:rsidRPr="001D63DF">
        <w:rPr>
          <w:rFonts w:asciiTheme="minorHAnsi" w:hAnsiTheme="minorHAnsi" w:cs="Arial"/>
          <w:i/>
        </w:rPr>
        <w:t xml:space="preserve">Advances in Building Energy Research, </w:t>
      </w:r>
      <w:r w:rsidR="00C53B58" w:rsidRPr="001D63DF">
        <w:rPr>
          <w:rFonts w:asciiTheme="minorHAnsi" w:hAnsiTheme="minorHAnsi" w:cs="OpenSans"/>
        </w:rPr>
        <w:t>10 (1)</w:t>
      </w:r>
      <w:r w:rsidR="003F1E05" w:rsidRPr="001D63DF">
        <w:rPr>
          <w:rFonts w:asciiTheme="minorHAnsi" w:hAnsiTheme="minorHAnsi" w:cs="OpenSans"/>
        </w:rPr>
        <w:t>,</w:t>
      </w:r>
      <w:r w:rsidR="00C53B58" w:rsidRPr="001D63DF">
        <w:rPr>
          <w:rFonts w:asciiTheme="minorHAnsi" w:hAnsiTheme="minorHAnsi" w:cs="OpenSans"/>
        </w:rPr>
        <w:t xml:space="preserve"> (2015)</w:t>
      </w:r>
      <w:r w:rsidR="003F1E05" w:rsidRPr="001D63DF">
        <w:rPr>
          <w:rFonts w:asciiTheme="minorHAnsi" w:hAnsiTheme="minorHAnsi" w:cs="OpenSans"/>
        </w:rPr>
        <w:t xml:space="preserve"> 46-68</w:t>
      </w:r>
      <w:r w:rsidRPr="001D63DF">
        <w:rPr>
          <w:rFonts w:asciiTheme="minorHAnsi" w:hAnsiTheme="minorHAnsi"/>
        </w:rPr>
        <w:t>.</w:t>
      </w:r>
    </w:p>
    <w:p w:rsidR="00C530F7" w:rsidRPr="00C530F7" w:rsidRDefault="00C530F7" w:rsidP="00C530F7">
      <w:pPr>
        <w:pStyle w:val="EndNoteBibliography"/>
        <w:spacing w:after="0"/>
      </w:pPr>
      <w:r w:rsidRPr="00C530F7">
        <w:t xml:space="preserve">[12] R. Gupta, M. Gregg, Using UK climate change projections to adapt existing English homes for a warming climate, </w:t>
      </w:r>
      <w:r w:rsidRPr="001D63DF">
        <w:rPr>
          <w:i/>
        </w:rPr>
        <w:t>Building and Environment</w:t>
      </w:r>
      <w:r w:rsidRPr="00C530F7">
        <w:t>, 55 (September) (2012) 20-42.</w:t>
      </w:r>
    </w:p>
    <w:p w:rsidR="00C530F7" w:rsidRPr="00C530F7" w:rsidRDefault="00C530F7" w:rsidP="00C530F7">
      <w:pPr>
        <w:pStyle w:val="EndNoteBibliography"/>
        <w:spacing w:after="0"/>
      </w:pPr>
      <w:r w:rsidRPr="00C530F7">
        <w:t xml:space="preserve">[13] R. Gupta, M. Gregg, Preventing the overheating of English suburban homes in a warming climate, </w:t>
      </w:r>
      <w:r w:rsidRPr="001D63DF">
        <w:rPr>
          <w:i/>
        </w:rPr>
        <w:t>Building Research &amp; Information</w:t>
      </w:r>
      <w:r w:rsidRPr="00C530F7">
        <w:t>, 41 (3) (2013) 281-300.</w:t>
      </w:r>
    </w:p>
    <w:p w:rsidR="00C530F7" w:rsidRPr="00C530F7" w:rsidRDefault="00C530F7" w:rsidP="00C530F7">
      <w:pPr>
        <w:pStyle w:val="EndNoteBibliography"/>
        <w:spacing w:after="0"/>
      </w:pPr>
      <w:r w:rsidRPr="00C530F7">
        <w:t>[14] R.S. McLeod, C.J. Hopfe, A. Kwan, An investigation into future performance and overheating risks in Passivhaus dwellings, Building and Environment, 70 (December) (2013) 189-209.</w:t>
      </w:r>
    </w:p>
    <w:p w:rsidR="00C530F7" w:rsidRPr="00C530F7" w:rsidRDefault="00C530F7" w:rsidP="00C530F7">
      <w:pPr>
        <w:pStyle w:val="EndNoteBibliography"/>
        <w:spacing w:after="0"/>
      </w:pPr>
      <w:r w:rsidRPr="00C530F7">
        <w:t>[15] A. Simone, M. AVANTAGGIAT, M. De Carli, B.W. Olesen, Effect of passive cooling strategies on overheating in low energy residential buildings for Danish climate, in:  8th Windsor Conference: counting the cost of Comfort in a changing world, 2014, pp. 10-13.</w:t>
      </w:r>
    </w:p>
    <w:p w:rsidR="00C530F7" w:rsidRPr="00C530F7" w:rsidRDefault="00C530F7" w:rsidP="00C530F7">
      <w:pPr>
        <w:pStyle w:val="EndNoteBibliography"/>
        <w:spacing w:after="0"/>
      </w:pPr>
      <w:r w:rsidRPr="00C530F7">
        <w:t>[16] S.M.T. Sameni, M. Gaterell, A. Montazami, A. Ahmed, Overheating investigation in UK social housing flats built to the Passivhaus standard, Building and Environment, 92 (October) (2015) 222-235.</w:t>
      </w:r>
    </w:p>
    <w:p w:rsidR="00C530F7" w:rsidRPr="00C530F7" w:rsidRDefault="00C530F7" w:rsidP="00C530F7">
      <w:pPr>
        <w:pStyle w:val="EndNoteBibliography"/>
        <w:spacing w:after="0"/>
      </w:pPr>
      <w:r w:rsidRPr="00C530F7">
        <w:t>[17] T.S. Larsen, R.L. Jensen, Comparison of measured and calculated values for the indoor environment in one of the first Danish passive houses, in:  12th Conference of International Building Performance Simulation Association, Sydney, 2011, pp. 1414-1421.</w:t>
      </w:r>
    </w:p>
    <w:p w:rsidR="00C530F7" w:rsidRPr="00C530F7" w:rsidRDefault="00C530F7" w:rsidP="00C530F7">
      <w:pPr>
        <w:pStyle w:val="EndNoteBibliography"/>
        <w:spacing w:after="0"/>
      </w:pPr>
      <w:r w:rsidRPr="00C530F7">
        <w:t>[18] S.H. Ruud, L. Lundin, M. Sandberg, J. Nielsen, A. Wahlström, T. Törnström, P. Kovacs, Houses without a traditional heating system–results from two years of measurement, in:  World Sustainable Building Conference, Tokyo, Tokyo, 2005, pp. 1143-1150.</w:t>
      </w:r>
    </w:p>
    <w:p w:rsidR="00C530F7" w:rsidRPr="00C530F7" w:rsidRDefault="00C530F7" w:rsidP="00C530F7">
      <w:pPr>
        <w:pStyle w:val="EndNoteBibliography"/>
        <w:spacing w:after="0"/>
      </w:pPr>
      <w:r w:rsidRPr="00C530F7">
        <w:t>[19] M. Maivel, J. Kurnitski, T. Kalamees, Field survey of overheating problems in Estonian apartment buildings, Architectural Science Review, 58 (1) (2015) 1-10.</w:t>
      </w:r>
    </w:p>
    <w:p w:rsidR="00C530F7" w:rsidRPr="00C530F7" w:rsidRDefault="00C530F7" w:rsidP="00C530F7">
      <w:pPr>
        <w:pStyle w:val="EndNoteBibliography"/>
        <w:spacing w:after="0"/>
      </w:pPr>
      <w:r w:rsidRPr="00C530F7">
        <w:t>[20] M. Orme, J. Palmer, S. Irving, Control of overheating in well-insulated housing, in:  Proceedings of the CIBSE/ASHRAE Conference (24-26 September 2003) in Building Sustainability, Value &amp; Profit, Edinburgh, 2003.</w:t>
      </w:r>
    </w:p>
    <w:p w:rsidR="00C530F7" w:rsidRPr="00C530F7" w:rsidRDefault="00C530F7" w:rsidP="00C530F7">
      <w:pPr>
        <w:pStyle w:val="EndNoteBibliography"/>
        <w:spacing w:after="0"/>
      </w:pPr>
      <w:r w:rsidRPr="00C530F7">
        <w:t>[21] R. Gupta, M. Gregg, Empirical evaluation of the energy and environmental performance of a sustainably-designed but under-utilised institutional building in the UK, Energy and Buildings, 128  (2016) 68-80.</w:t>
      </w:r>
    </w:p>
    <w:p w:rsidR="00C530F7" w:rsidRPr="00C530F7" w:rsidRDefault="00C530F7" w:rsidP="00C530F7">
      <w:pPr>
        <w:pStyle w:val="EndNoteBibliography"/>
        <w:spacing w:after="0"/>
      </w:pPr>
      <w:r w:rsidRPr="00C530F7">
        <w:t>[22] A.-A. Tillson, T. Oreszczyn, J. Palmer, Assessing impacts of summertime overheating: Some adaptation strategies, Building Research &amp; Information, 41 (6) (2013) 652-661.</w:t>
      </w:r>
    </w:p>
    <w:p w:rsidR="00C530F7" w:rsidRPr="00C530F7" w:rsidRDefault="00C530F7" w:rsidP="00C530F7">
      <w:pPr>
        <w:pStyle w:val="EndNoteBibliography"/>
        <w:spacing w:after="0"/>
      </w:pPr>
      <w:r w:rsidRPr="00C530F7">
        <w:t>[23] E. Oikonomou, M. Davies, A. Mavrogianni, P. Biddulph, P. Wilkinson, M. Kolokotroni, Modelling the relative importance of the urban heat island and the thermal quality of dwellings for overheating in London, Building and Environment, 57  (2012) 223-238.</w:t>
      </w:r>
    </w:p>
    <w:p w:rsidR="00C530F7" w:rsidRPr="00C530F7" w:rsidRDefault="00C530F7" w:rsidP="00C530F7">
      <w:pPr>
        <w:pStyle w:val="EndNoteBibliography"/>
        <w:spacing w:after="0"/>
      </w:pPr>
      <w:r w:rsidRPr="00C530F7">
        <w:t>[24] S. Berry, D. Whaley, K. Davidson, W. Saman, Near zero energy homes–What do users think?, Energy Policy, 73  (2014) 127-137.</w:t>
      </w:r>
    </w:p>
    <w:p w:rsidR="00C530F7" w:rsidRPr="00C530F7" w:rsidRDefault="00C530F7" w:rsidP="00C530F7">
      <w:pPr>
        <w:pStyle w:val="EndNoteBibliography"/>
        <w:spacing w:after="0"/>
      </w:pPr>
      <w:r w:rsidRPr="00C530F7">
        <w:t>[25] J. Schnieders, Passiv houses in South West Europe: a quantitative investigation of some passive and active space conditioning techniques for highly energy efficient dwellings in the South West European region, Passivhaus Inst., 2009.</w:t>
      </w:r>
    </w:p>
    <w:p w:rsidR="00C530F7" w:rsidRPr="00C530F7" w:rsidRDefault="00C530F7" w:rsidP="00C530F7">
      <w:pPr>
        <w:pStyle w:val="EndNoteBibliography"/>
        <w:spacing w:after="0"/>
      </w:pPr>
      <w:r w:rsidRPr="00C530F7">
        <w:t>[26] M. Eames, T. Kershaw, D. Coley, On the creation of future probabilistic design weather years from UKCP09, Building Services Engineering Research and Technology, 32 (2) (2011) 127-142.</w:t>
      </w:r>
    </w:p>
    <w:p w:rsidR="00C530F7" w:rsidRPr="00C530F7" w:rsidRDefault="00C530F7" w:rsidP="00C530F7">
      <w:pPr>
        <w:pStyle w:val="EndNoteBibliography"/>
        <w:spacing w:after="0"/>
      </w:pPr>
      <w:r w:rsidRPr="00C530F7">
        <w:t>[27] F. Nicol, B. Spires, The limits of thermal comfort: avoiding overheating in European buildings: CIBSE TM52: 2013, The Chartered Institution of Building Services Engineers, London, 2013.</w:t>
      </w:r>
    </w:p>
    <w:p w:rsidR="00C530F7" w:rsidRPr="00C530F7" w:rsidRDefault="00C530F7" w:rsidP="00C530F7">
      <w:pPr>
        <w:pStyle w:val="EndNoteBibliography"/>
        <w:spacing w:after="0"/>
      </w:pPr>
      <w:r w:rsidRPr="00C530F7">
        <w:t>[28] DCLG, English Housing Survey: Profile of English housing: Annual report on England’s housing stock, 2013, in: D.f.C.a.L. Government (Ed.), Department for Communities and Local Government, London, 2015, pp. 105.</w:t>
      </w:r>
    </w:p>
    <w:p w:rsidR="00C530F7" w:rsidRPr="00C530F7" w:rsidRDefault="00C530F7" w:rsidP="00C530F7">
      <w:pPr>
        <w:pStyle w:val="EndNoteBibliography"/>
        <w:spacing w:after="0"/>
      </w:pPr>
      <w:r w:rsidRPr="00C530F7">
        <w:t>[29] BRE, Building Typology Brochure England: September 2014 in, Building Research Establishment, Watford, 2014, pp. 40.</w:t>
      </w:r>
    </w:p>
    <w:p w:rsidR="00C530F7" w:rsidRPr="00C530F7" w:rsidRDefault="00C530F7" w:rsidP="00C530F7">
      <w:pPr>
        <w:pStyle w:val="EndNoteBibliography"/>
        <w:spacing w:after="0"/>
      </w:pPr>
      <w:r w:rsidRPr="00C530F7">
        <w:t>[30] H. Government, The building regulations 2010: Approved document L1A Conservation of fuel and power in new dwellings, in:  Approved document L1A Conservation of fuel and power in new dwellings, NBS, London, 2014, pp. 48.</w:t>
      </w:r>
    </w:p>
    <w:p w:rsidR="00C530F7" w:rsidRPr="00C530F7" w:rsidRDefault="00C530F7" w:rsidP="00C530F7">
      <w:pPr>
        <w:pStyle w:val="EndNoteBibliography"/>
        <w:spacing w:after="0"/>
      </w:pPr>
      <w:r w:rsidRPr="00C530F7">
        <w:lastRenderedPageBreak/>
        <w:t>[31] S. Deng, R. Wang, Y. Dai, How to evaluate performance of net zero energy building–A literature research, Energy, 71  (2014) 1-16.</w:t>
      </w:r>
    </w:p>
    <w:p w:rsidR="00C530F7" w:rsidRPr="00C530F7" w:rsidRDefault="00C530F7" w:rsidP="00C530F7">
      <w:pPr>
        <w:pStyle w:val="EndNoteBibliography"/>
        <w:spacing w:after="0"/>
      </w:pPr>
      <w:r w:rsidRPr="00C530F7">
        <w:t>[32] E. Musall, T. Weiss, A. Lenoir, K. Voss, F. Garde, M. Donn, Net Zero energy solar buildings: an overview and analysis on worldwide building projects, in:  EuroSun conference, 2010.</w:t>
      </w:r>
    </w:p>
    <w:p w:rsidR="00C530F7" w:rsidRPr="00C530F7" w:rsidRDefault="00C530F7" w:rsidP="00C530F7">
      <w:pPr>
        <w:pStyle w:val="EndNoteBibliography"/>
        <w:spacing w:after="0"/>
      </w:pPr>
      <w:r w:rsidRPr="00C530F7">
        <w:t>[33] BRE, The Government’s Standard Assessment Procedure for Energy Rating of Dwellings: 2012 edition, in: E.a.I.S. Department for Business (Ed.), Building Research Establishment, Watford, 2014, pp. 232.</w:t>
      </w:r>
    </w:p>
    <w:p w:rsidR="00C530F7" w:rsidRPr="00C530F7" w:rsidRDefault="00C530F7" w:rsidP="00C530F7">
      <w:pPr>
        <w:pStyle w:val="EndNoteBibliography"/>
        <w:spacing w:after="0"/>
      </w:pPr>
      <w:r w:rsidRPr="00C530F7">
        <w:t>[34] R. Gupta, M. Kapsali, Evaluating the effect of occupant behaviour and expectations on actual energy use and environmental conditions in ‘sustainable’social housing in South East England, in:  Windsor Conference, Cumberland Lodge, Windsor, UK, 2014, pp. 1-25.</w:t>
      </w:r>
    </w:p>
    <w:p w:rsidR="00C530F7" w:rsidRPr="00C530F7" w:rsidRDefault="00C530F7" w:rsidP="00C530F7">
      <w:pPr>
        <w:pStyle w:val="EndNoteBibliography"/>
        <w:spacing w:after="0"/>
      </w:pPr>
      <w:r w:rsidRPr="00C530F7">
        <w:t>[35] A. Dengel, M. Swainson, Overheating in new homes: A review of the evidence, Research Review, Zero Carbon Hub,  (2012).</w:t>
      </w:r>
    </w:p>
    <w:p w:rsidR="00C530F7" w:rsidRPr="00C530F7" w:rsidRDefault="00C530F7" w:rsidP="00C530F7">
      <w:pPr>
        <w:pStyle w:val="EndNoteBibliography"/>
        <w:spacing w:after="0"/>
      </w:pPr>
      <w:r w:rsidRPr="00C530F7">
        <w:t>[36] S.M. Porritt, P.C. Cropper, L. Shao, C.I. Goodier, Ranking of interventions to reduce dwelling overheating during heat waves, Energy and Buildings, 55  (2012) 16-27.</w:t>
      </w:r>
    </w:p>
    <w:p w:rsidR="00C530F7" w:rsidRPr="00C530F7" w:rsidRDefault="00C530F7" w:rsidP="00C530F7">
      <w:pPr>
        <w:pStyle w:val="EndNoteBibliography"/>
      </w:pPr>
      <w:r w:rsidRPr="00C530F7">
        <w:t>[37] R. Gupta, M. Gregg, Adapting UK suburban homes for a warming climate, in:  Windsor Conference, Network for Comfort and Energy Use in Buildings, Cumberland Lodge, Windsor, UK, 2012.</w:t>
      </w:r>
    </w:p>
    <w:p w:rsidR="00BC612E" w:rsidRPr="00897DAA" w:rsidRDefault="008F48A0" w:rsidP="00BC612E">
      <w:r>
        <w:fldChar w:fldCharType="end"/>
      </w:r>
    </w:p>
    <w:sectPr w:rsidR="00BC612E" w:rsidRPr="00897DAA" w:rsidSect="002232F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162" w:rsidRDefault="00761162" w:rsidP="005C270C">
      <w:pPr>
        <w:spacing w:after="0" w:line="240" w:lineRule="auto"/>
      </w:pPr>
      <w:r>
        <w:separator/>
      </w:r>
    </w:p>
  </w:endnote>
  <w:endnote w:type="continuationSeparator" w:id="0">
    <w:p w:rsidR="00761162" w:rsidRDefault="00761162" w:rsidP="005C270C">
      <w:pPr>
        <w:spacing w:after="0" w:line="240" w:lineRule="auto"/>
      </w:pPr>
      <w:r>
        <w:continuationSeparator/>
      </w:r>
    </w:p>
  </w:endnote>
  <w:endnote w:id="1">
    <w:p w:rsidR="00607F24" w:rsidRDefault="00607F24">
      <w:pPr>
        <w:pStyle w:val="EndnoteText"/>
      </w:pPr>
      <w:r>
        <w:rPr>
          <w:rStyle w:val="EndnoteReference"/>
        </w:rPr>
        <w:endnoteRef/>
      </w:r>
      <w:r>
        <w:t xml:space="preserve"> </w:t>
      </w:r>
      <w:r>
        <w:rPr>
          <w:rFonts w:ascii="Arial" w:hAnsi="Arial" w:cs="Arial"/>
          <w:color w:val="000000"/>
          <w:sz w:val="19"/>
          <w:szCs w:val="19"/>
          <w:shd w:val="clear" w:color="auto" w:fill="FFFFFF"/>
        </w:rPr>
        <w:t>The Code for Sustainable Homes (CSH) is the national standard for the sustainable design and construction of new homes. It aims to reduce carbon emissions and promote higher standards of sustainable design above the current minimum standards set out by the building regulations.</w:t>
      </w:r>
      <w:r w:rsidR="00246ED3">
        <w:rPr>
          <w:rFonts w:ascii="Arial" w:hAnsi="Arial" w:cs="Arial"/>
          <w:color w:val="000000"/>
          <w:sz w:val="19"/>
          <w:szCs w:val="19"/>
          <w:shd w:val="clear" w:color="auto" w:fill="FFFFFF"/>
        </w:rPr>
        <w:t xml:space="preserve"> </w:t>
      </w:r>
      <w:r>
        <w:rPr>
          <w:rFonts w:ascii="Arial" w:hAnsi="Arial" w:cs="Arial"/>
          <w:color w:val="000000"/>
          <w:sz w:val="19"/>
          <w:szCs w:val="19"/>
          <w:shd w:val="clear" w:color="auto" w:fill="FFFFFF"/>
        </w:rPr>
        <w:t>Until March 2015, the code could be mandatory in England, Wales and Northern Ireland if it was a requirement of a local authority’s local plan, or where affordable housing was funded by the Homes and Community Agency. The Code is still operational, but is now generally voluntary.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OpenSans">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162" w:rsidRDefault="00761162" w:rsidP="005C270C">
      <w:pPr>
        <w:spacing w:after="0" w:line="240" w:lineRule="auto"/>
      </w:pPr>
      <w:r>
        <w:separator/>
      </w:r>
    </w:p>
  </w:footnote>
  <w:footnote w:type="continuationSeparator" w:id="0">
    <w:p w:rsidR="00761162" w:rsidRDefault="00761162" w:rsidP="005C27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9058B"/>
    <w:multiLevelType w:val="hybridMultilevel"/>
    <w:tmpl w:val="9B6A9C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B5F4ADC"/>
    <w:multiLevelType w:val="hybridMultilevel"/>
    <w:tmpl w:val="337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C8836B7"/>
    <w:multiLevelType w:val="hybridMultilevel"/>
    <w:tmpl w:val="7F127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07607AC"/>
    <w:multiLevelType w:val="hybridMultilevel"/>
    <w:tmpl w:val="FD4C1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683574"/>
    <w:multiLevelType w:val="hybridMultilevel"/>
    <w:tmpl w:val="C4269CAE"/>
    <w:lvl w:ilvl="0" w:tplc="08090001">
      <w:start w:val="1"/>
      <w:numFmt w:val="bullet"/>
      <w:lvlText w:val=""/>
      <w:lvlJc w:val="left"/>
      <w:pPr>
        <w:ind w:left="720" w:hanging="360"/>
      </w:pPr>
      <w:rPr>
        <w:rFonts w:ascii="Symbol" w:hAnsi="Symbol" w:hint="default"/>
      </w:rPr>
    </w:lvl>
    <w:lvl w:ilvl="1" w:tplc="51D0F146">
      <w:numFmt w:val="bullet"/>
      <w:lvlText w:val="•"/>
      <w:lvlJc w:val="left"/>
      <w:pPr>
        <w:ind w:left="1800" w:hanging="72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7941768"/>
    <w:multiLevelType w:val="hybridMultilevel"/>
    <w:tmpl w:val="659A4C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91A0999"/>
    <w:multiLevelType w:val="hybridMultilevel"/>
    <w:tmpl w:val="DD2C8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207775C"/>
    <w:multiLevelType w:val="hybridMultilevel"/>
    <w:tmpl w:val="B8261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2D318BE"/>
    <w:multiLevelType w:val="hybridMultilevel"/>
    <w:tmpl w:val="AFE6B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5454E78"/>
    <w:multiLevelType w:val="hybridMultilevel"/>
    <w:tmpl w:val="3932B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6AD3BC5"/>
    <w:multiLevelType w:val="hybridMultilevel"/>
    <w:tmpl w:val="7FB0F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9813FD3"/>
    <w:multiLevelType w:val="hybridMultilevel"/>
    <w:tmpl w:val="813C6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D7D29B4"/>
    <w:multiLevelType w:val="hybridMultilevel"/>
    <w:tmpl w:val="1C483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6E753D2"/>
    <w:multiLevelType w:val="hybridMultilevel"/>
    <w:tmpl w:val="CB6EE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B286547"/>
    <w:multiLevelType w:val="hybridMultilevel"/>
    <w:tmpl w:val="4BCC6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C6A68B3"/>
    <w:multiLevelType w:val="hybridMultilevel"/>
    <w:tmpl w:val="F1722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6"/>
  </w:num>
  <w:num w:numId="4">
    <w:abstractNumId w:val="11"/>
  </w:num>
  <w:num w:numId="5">
    <w:abstractNumId w:val="0"/>
  </w:num>
  <w:num w:numId="6">
    <w:abstractNumId w:val="7"/>
  </w:num>
  <w:num w:numId="7">
    <w:abstractNumId w:val="5"/>
  </w:num>
  <w:num w:numId="8">
    <w:abstractNumId w:val="14"/>
  </w:num>
  <w:num w:numId="9">
    <w:abstractNumId w:val="3"/>
  </w:num>
  <w:num w:numId="10">
    <w:abstractNumId w:val="12"/>
  </w:num>
  <w:num w:numId="11">
    <w:abstractNumId w:val="8"/>
  </w:num>
  <w:num w:numId="12">
    <w:abstractNumId w:val="1"/>
  </w:num>
  <w:num w:numId="13">
    <w:abstractNumId w:val="2"/>
  </w:num>
  <w:num w:numId="14">
    <w:abstractNumId w:val="9"/>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nergy &amp;amp; Building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tvfvp55j2tw0ned5ruxvv51zwdxaxr9wft0&quot;&gt;My EndNote Library&lt;record-ids&gt;&lt;item&gt;2&lt;/item&gt;&lt;item&gt;12&lt;/item&gt;&lt;item&gt;30&lt;/item&gt;&lt;item&gt;40&lt;/item&gt;&lt;item&gt;68&lt;/item&gt;&lt;item&gt;106&lt;/item&gt;&lt;item&gt;146&lt;/item&gt;&lt;item&gt;147&lt;/item&gt;&lt;item&gt;149&lt;/item&gt;&lt;item&gt;235&lt;/item&gt;&lt;item&gt;237&lt;/item&gt;&lt;item&gt;238&lt;/item&gt;&lt;item&gt;239&lt;/item&gt;&lt;item&gt;240&lt;/item&gt;&lt;item&gt;241&lt;/item&gt;&lt;item&gt;242&lt;/item&gt;&lt;item&gt;243&lt;/item&gt;&lt;item&gt;244&lt;/item&gt;&lt;item&gt;245&lt;/item&gt;&lt;item&gt;246&lt;/item&gt;&lt;item&gt;247&lt;/item&gt;&lt;item&gt;248&lt;/item&gt;&lt;item&gt;249&lt;/item&gt;&lt;item&gt;250&lt;/item&gt;&lt;item&gt;251&lt;/item&gt;&lt;item&gt;252&lt;/item&gt;&lt;item&gt;253&lt;/item&gt;&lt;item&gt;254&lt;/item&gt;&lt;item&gt;255&lt;/item&gt;&lt;item&gt;256&lt;/item&gt;&lt;item&gt;257&lt;/item&gt;&lt;item&gt;258&lt;/item&gt;&lt;item&gt;259&lt;/item&gt;&lt;item&gt;260&lt;/item&gt;&lt;item&gt;261&lt;/item&gt;&lt;item&gt;262&lt;/item&gt;&lt;item&gt;263&lt;/item&gt;&lt;item&gt;272&lt;/item&gt;&lt;/record-ids&gt;&lt;/item&gt;&lt;/Libraries&gt;"/>
  </w:docVars>
  <w:rsids>
    <w:rsidRoot w:val="008D4B0E"/>
    <w:rsid w:val="00003027"/>
    <w:rsid w:val="00016589"/>
    <w:rsid w:val="00017C8C"/>
    <w:rsid w:val="000251D6"/>
    <w:rsid w:val="000429A2"/>
    <w:rsid w:val="000432DE"/>
    <w:rsid w:val="00043689"/>
    <w:rsid w:val="00055024"/>
    <w:rsid w:val="000609A2"/>
    <w:rsid w:val="0006139C"/>
    <w:rsid w:val="0006726D"/>
    <w:rsid w:val="00067D3E"/>
    <w:rsid w:val="00071BFD"/>
    <w:rsid w:val="00076009"/>
    <w:rsid w:val="00076E69"/>
    <w:rsid w:val="000803F6"/>
    <w:rsid w:val="00082C41"/>
    <w:rsid w:val="00086B63"/>
    <w:rsid w:val="00087924"/>
    <w:rsid w:val="000936DF"/>
    <w:rsid w:val="000A611B"/>
    <w:rsid w:val="000A620A"/>
    <w:rsid w:val="000B374E"/>
    <w:rsid w:val="000B79E4"/>
    <w:rsid w:val="000C26AB"/>
    <w:rsid w:val="000C5856"/>
    <w:rsid w:val="000C7A3E"/>
    <w:rsid w:val="000D5FE8"/>
    <w:rsid w:val="000E016A"/>
    <w:rsid w:val="000E20BB"/>
    <w:rsid w:val="000E3034"/>
    <w:rsid w:val="000F02B7"/>
    <w:rsid w:val="000F5629"/>
    <w:rsid w:val="0010519F"/>
    <w:rsid w:val="00106788"/>
    <w:rsid w:val="00112C67"/>
    <w:rsid w:val="00113DF4"/>
    <w:rsid w:val="001205E1"/>
    <w:rsid w:val="00125716"/>
    <w:rsid w:val="001276A2"/>
    <w:rsid w:val="0012794C"/>
    <w:rsid w:val="001351E4"/>
    <w:rsid w:val="00144D96"/>
    <w:rsid w:val="00146720"/>
    <w:rsid w:val="001507F8"/>
    <w:rsid w:val="00151481"/>
    <w:rsid w:val="001514CA"/>
    <w:rsid w:val="00163351"/>
    <w:rsid w:val="00171BD3"/>
    <w:rsid w:val="00181C9A"/>
    <w:rsid w:val="00185992"/>
    <w:rsid w:val="00186ACC"/>
    <w:rsid w:val="001926AE"/>
    <w:rsid w:val="001950DA"/>
    <w:rsid w:val="001A0263"/>
    <w:rsid w:val="001A195E"/>
    <w:rsid w:val="001A5021"/>
    <w:rsid w:val="001A60E1"/>
    <w:rsid w:val="001B17DB"/>
    <w:rsid w:val="001B39A4"/>
    <w:rsid w:val="001B66F0"/>
    <w:rsid w:val="001C30A8"/>
    <w:rsid w:val="001D63DF"/>
    <w:rsid w:val="001E2D13"/>
    <w:rsid w:val="001F6240"/>
    <w:rsid w:val="00211064"/>
    <w:rsid w:val="00211E2F"/>
    <w:rsid w:val="0021571C"/>
    <w:rsid w:val="0022024C"/>
    <w:rsid w:val="00222462"/>
    <w:rsid w:val="002232F4"/>
    <w:rsid w:val="00226664"/>
    <w:rsid w:val="00230AD5"/>
    <w:rsid w:val="002344A3"/>
    <w:rsid w:val="00246ED3"/>
    <w:rsid w:val="002566A1"/>
    <w:rsid w:val="002766EC"/>
    <w:rsid w:val="002870EB"/>
    <w:rsid w:val="00296327"/>
    <w:rsid w:val="002A35CF"/>
    <w:rsid w:val="002A3913"/>
    <w:rsid w:val="002A4D8E"/>
    <w:rsid w:val="002A569C"/>
    <w:rsid w:val="002B007B"/>
    <w:rsid w:val="002B1B33"/>
    <w:rsid w:val="002B3F21"/>
    <w:rsid w:val="002C1591"/>
    <w:rsid w:val="002D6163"/>
    <w:rsid w:val="002E00FE"/>
    <w:rsid w:val="002E1E06"/>
    <w:rsid w:val="002F20B6"/>
    <w:rsid w:val="002F3E56"/>
    <w:rsid w:val="002F538C"/>
    <w:rsid w:val="002F7418"/>
    <w:rsid w:val="00303C6F"/>
    <w:rsid w:val="00304E25"/>
    <w:rsid w:val="003145AD"/>
    <w:rsid w:val="00321684"/>
    <w:rsid w:val="003418E9"/>
    <w:rsid w:val="00342350"/>
    <w:rsid w:val="00343ACC"/>
    <w:rsid w:val="00347FB1"/>
    <w:rsid w:val="00367C95"/>
    <w:rsid w:val="00370B28"/>
    <w:rsid w:val="00370B43"/>
    <w:rsid w:val="00381785"/>
    <w:rsid w:val="00381DCD"/>
    <w:rsid w:val="0038218A"/>
    <w:rsid w:val="003837EB"/>
    <w:rsid w:val="00391C50"/>
    <w:rsid w:val="0039623C"/>
    <w:rsid w:val="00396386"/>
    <w:rsid w:val="003A7230"/>
    <w:rsid w:val="003A7AB7"/>
    <w:rsid w:val="003B149D"/>
    <w:rsid w:val="003C6252"/>
    <w:rsid w:val="003C6A89"/>
    <w:rsid w:val="003C7378"/>
    <w:rsid w:val="003C782E"/>
    <w:rsid w:val="003D2C37"/>
    <w:rsid w:val="003D4951"/>
    <w:rsid w:val="003D65F7"/>
    <w:rsid w:val="003E0691"/>
    <w:rsid w:val="003E1C23"/>
    <w:rsid w:val="003E2CD4"/>
    <w:rsid w:val="003F1E05"/>
    <w:rsid w:val="003F6C0E"/>
    <w:rsid w:val="004000B6"/>
    <w:rsid w:val="00401407"/>
    <w:rsid w:val="004021A6"/>
    <w:rsid w:val="00402B8A"/>
    <w:rsid w:val="004060CF"/>
    <w:rsid w:val="004113D1"/>
    <w:rsid w:val="00411C72"/>
    <w:rsid w:val="004254FF"/>
    <w:rsid w:val="00432A68"/>
    <w:rsid w:val="00435A2B"/>
    <w:rsid w:val="00437DEA"/>
    <w:rsid w:val="0046587F"/>
    <w:rsid w:val="00465951"/>
    <w:rsid w:val="00466491"/>
    <w:rsid w:val="004777FF"/>
    <w:rsid w:val="00482B72"/>
    <w:rsid w:val="004874E2"/>
    <w:rsid w:val="00491CE1"/>
    <w:rsid w:val="00492AB2"/>
    <w:rsid w:val="004A0F7E"/>
    <w:rsid w:val="004A36E8"/>
    <w:rsid w:val="004A3A32"/>
    <w:rsid w:val="004B589F"/>
    <w:rsid w:val="004C120E"/>
    <w:rsid w:val="004C1BBA"/>
    <w:rsid w:val="004C7A35"/>
    <w:rsid w:val="004D4C55"/>
    <w:rsid w:val="004E3CD2"/>
    <w:rsid w:val="004E4E58"/>
    <w:rsid w:val="004E7A92"/>
    <w:rsid w:val="004F6DDA"/>
    <w:rsid w:val="004F7C10"/>
    <w:rsid w:val="005117CE"/>
    <w:rsid w:val="0051307D"/>
    <w:rsid w:val="00520420"/>
    <w:rsid w:val="0053027C"/>
    <w:rsid w:val="00543354"/>
    <w:rsid w:val="005454E2"/>
    <w:rsid w:val="0054617D"/>
    <w:rsid w:val="00561813"/>
    <w:rsid w:val="005669A1"/>
    <w:rsid w:val="0057009C"/>
    <w:rsid w:val="0057047F"/>
    <w:rsid w:val="00571BE5"/>
    <w:rsid w:val="00586449"/>
    <w:rsid w:val="00595C44"/>
    <w:rsid w:val="00595EF3"/>
    <w:rsid w:val="005A1849"/>
    <w:rsid w:val="005A2E64"/>
    <w:rsid w:val="005A53B3"/>
    <w:rsid w:val="005B0736"/>
    <w:rsid w:val="005B4FE7"/>
    <w:rsid w:val="005C13DE"/>
    <w:rsid w:val="005C270C"/>
    <w:rsid w:val="005D127C"/>
    <w:rsid w:val="005D2662"/>
    <w:rsid w:val="005D31F2"/>
    <w:rsid w:val="005E0C5C"/>
    <w:rsid w:val="005E2042"/>
    <w:rsid w:val="005E7122"/>
    <w:rsid w:val="005F0B71"/>
    <w:rsid w:val="005F221E"/>
    <w:rsid w:val="00601010"/>
    <w:rsid w:val="0060134B"/>
    <w:rsid w:val="00606BFF"/>
    <w:rsid w:val="00607394"/>
    <w:rsid w:val="006079B5"/>
    <w:rsid w:val="00607F24"/>
    <w:rsid w:val="00612CA7"/>
    <w:rsid w:val="00612CCE"/>
    <w:rsid w:val="00617F7A"/>
    <w:rsid w:val="00624028"/>
    <w:rsid w:val="00627655"/>
    <w:rsid w:val="0064334C"/>
    <w:rsid w:val="00643525"/>
    <w:rsid w:val="00650442"/>
    <w:rsid w:val="00663761"/>
    <w:rsid w:val="0066793C"/>
    <w:rsid w:val="006709BA"/>
    <w:rsid w:val="006713DF"/>
    <w:rsid w:val="0067754A"/>
    <w:rsid w:val="00677AC6"/>
    <w:rsid w:val="006844AC"/>
    <w:rsid w:val="00684A40"/>
    <w:rsid w:val="0069109E"/>
    <w:rsid w:val="00693338"/>
    <w:rsid w:val="00696E6A"/>
    <w:rsid w:val="006A0303"/>
    <w:rsid w:val="006A38C4"/>
    <w:rsid w:val="006B59AB"/>
    <w:rsid w:val="006B71AB"/>
    <w:rsid w:val="006C2A9D"/>
    <w:rsid w:val="006D0190"/>
    <w:rsid w:val="006E0EBF"/>
    <w:rsid w:val="006E1A6F"/>
    <w:rsid w:val="006F18F7"/>
    <w:rsid w:val="006F23D2"/>
    <w:rsid w:val="0070410B"/>
    <w:rsid w:val="007044E7"/>
    <w:rsid w:val="00704A4F"/>
    <w:rsid w:val="00705632"/>
    <w:rsid w:val="00715EBC"/>
    <w:rsid w:val="007178B1"/>
    <w:rsid w:val="00733A34"/>
    <w:rsid w:val="007361A6"/>
    <w:rsid w:val="007375B6"/>
    <w:rsid w:val="00737DD0"/>
    <w:rsid w:val="00741536"/>
    <w:rsid w:val="00745DB9"/>
    <w:rsid w:val="00746D95"/>
    <w:rsid w:val="00747400"/>
    <w:rsid w:val="007528D6"/>
    <w:rsid w:val="00755DA0"/>
    <w:rsid w:val="00760017"/>
    <w:rsid w:val="00761162"/>
    <w:rsid w:val="00773579"/>
    <w:rsid w:val="00774914"/>
    <w:rsid w:val="007769D5"/>
    <w:rsid w:val="00777CD0"/>
    <w:rsid w:val="00783F5D"/>
    <w:rsid w:val="00784B25"/>
    <w:rsid w:val="007A2572"/>
    <w:rsid w:val="007A2A36"/>
    <w:rsid w:val="007B0269"/>
    <w:rsid w:val="007B5ACF"/>
    <w:rsid w:val="007C6B8A"/>
    <w:rsid w:val="007D2532"/>
    <w:rsid w:val="007D2DD5"/>
    <w:rsid w:val="007E38A0"/>
    <w:rsid w:val="007E5D3E"/>
    <w:rsid w:val="007E68E9"/>
    <w:rsid w:val="007E733A"/>
    <w:rsid w:val="007F25B6"/>
    <w:rsid w:val="007F2FA5"/>
    <w:rsid w:val="007F3844"/>
    <w:rsid w:val="00804F13"/>
    <w:rsid w:val="00806C54"/>
    <w:rsid w:val="00810D41"/>
    <w:rsid w:val="00810E24"/>
    <w:rsid w:val="00813287"/>
    <w:rsid w:val="0082733F"/>
    <w:rsid w:val="008276FF"/>
    <w:rsid w:val="008317B9"/>
    <w:rsid w:val="00835062"/>
    <w:rsid w:val="0084473F"/>
    <w:rsid w:val="00847559"/>
    <w:rsid w:val="0085312D"/>
    <w:rsid w:val="00853172"/>
    <w:rsid w:val="00853195"/>
    <w:rsid w:val="00854B63"/>
    <w:rsid w:val="00865687"/>
    <w:rsid w:val="00870958"/>
    <w:rsid w:val="0088492A"/>
    <w:rsid w:val="0088595E"/>
    <w:rsid w:val="00893266"/>
    <w:rsid w:val="008933DA"/>
    <w:rsid w:val="008935BE"/>
    <w:rsid w:val="00895CEC"/>
    <w:rsid w:val="008966FE"/>
    <w:rsid w:val="00897DAA"/>
    <w:rsid w:val="008A6365"/>
    <w:rsid w:val="008B0774"/>
    <w:rsid w:val="008B7B31"/>
    <w:rsid w:val="008C0F50"/>
    <w:rsid w:val="008C1317"/>
    <w:rsid w:val="008C496C"/>
    <w:rsid w:val="008C72C2"/>
    <w:rsid w:val="008C7444"/>
    <w:rsid w:val="008D4B0E"/>
    <w:rsid w:val="008D5023"/>
    <w:rsid w:val="008D65AA"/>
    <w:rsid w:val="008E4B17"/>
    <w:rsid w:val="008F0751"/>
    <w:rsid w:val="008F0F25"/>
    <w:rsid w:val="008F19C4"/>
    <w:rsid w:val="008F3F40"/>
    <w:rsid w:val="008F48A0"/>
    <w:rsid w:val="008F57D4"/>
    <w:rsid w:val="008F7EE4"/>
    <w:rsid w:val="00905B11"/>
    <w:rsid w:val="00906103"/>
    <w:rsid w:val="00916A6C"/>
    <w:rsid w:val="00917DD6"/>
    <w:rsid w:val="00920B48"/>
    <w:rsid w:val="009245C5"/>
    <w:rsid w:val="00932A98"/>
    <w:rsid w:val="00943779"/>
    <w:rsid w:val="009514C5"/>
    <w:rsid w:val="00953576"/>
    <w:rsid w:val="00956980"/>
    <w:rsid w:val="00956E37"/>
    <w:rsid w:val="00956E8D"/>
    <w:rsid w:val="00974A1F"/>
    <w:rsid w:val="0097577B"/>
    <w:rsid w:val="00982AA5"/>
    <w:rsid w:val="00984705"/>
    <w:rsid w:val="00994A0C"/>
    <w:rsid w:val="0099562F"/>
    <w:rsid w:val="009A2023"/>
    <w:rsid w:val="009B0E7C"/>
    <w:rsid w:val="009B409B"/>
    <w:rsid w:val="009B7D79"/>
    <w:rsid w:val="009D2F23"/>
    <w:rsid w:val="009D5A85"/>
    <w:rsid w:val="009E584F"/>
    <w:rsid w:val="00A03026"/>
    <w:rsid w:val="00A1344C"/>
    <w:rsid w:val="00A20944"/>
    <w:rsid w:val="00A27213"/>
    <w:rsid w:val="00A31E06"/>
    <w:rsid w:val="00A325AD"/>
    <w:rsid w:val="00A338EE"/>
    <w:rsid w:val="00A36F29"/>
    <w:rsid w:val="00A44EF2"/>
    <w:rsid w:val="00A47D9F"/>
    <w:rsid w:val="00A55017"/>
    <w:rsid w:val="00A55D6D"/>
    <w:rsid w:val="00A56B97"/>
    <w:rsid w:val="00A57C69"/>
    <w:rsid w:val="00A65DFC"/>
    <w:rsid w:val="00A725D1"/>
    <w:rsid w:val="00A81EF3"/>
    <w:rsid w:val="00A96C24"/>
    <w:rsid w:val="00AB104D"/>
    <w:rsid w:val="00AB1963"/>
    <w:rsid w:val="00AB373E"/>
    <w:rsid w:val="00AB64D5"/>
    <w:rsid w:val="00AB6EC2"/>
    <w:rsid w:val="00AB7A14"/>
    <w:rsid w:val="00AC6AF7"/>
    <w:rsid w:val="00AD4605"/>
    <w:rsid w:val="00AE4F59"/>
    <w:rsid w:val="00AF0578"/>
    <w:rsid w:val="00AF7D9F"/>
    <w:rsid w:val="00AF7EE0"/>
    <w:rsid w:val="00B03F4D"/>
    <w:rsid w:val="00B06F32"/>
    <w:rsid w:val="00B152A7"/>
    <w:rsid w:val="00B17BF2"/>
    <w:rsid w:val="00B24055"/>
    <w:rsid w:val="00B25202"/>
    <w:rsid w:val="00B27C00"/>
    <w:rsid w:val="00B27E1D"/>
    <w:rsid w:val="00B36CE2"/>
    <w:rsid w:val="00B41BBC"/>
    <w:rsid w:val="00B45E77"/>
    <w:rsid w:val="00B51B0D"/>
    <w:rsid w:val="00B5262A"/>
    <w:rsid w:val="00B546C3"/>
    <w:rsid w:val="00B552F9"/>
    <w:rsid w:val="00B633B1"/>
    <w:rsid w:val="00B71EC9"/>
    <w:rsid w:val="00B762B3"/>
    <w:rsid w:val="00B8330C"/>
    <w:rsid w:val="00B8707E"/>
    <w:rsid w:val="00B94279"/>
    <w:rsid w:val="00B9460E"/>
    <w:rsid w:val="00BA19ED"/>
    <w:rsid w:val="00BB39E5"/>
    <w:rsid w:val="00BC612E"/>
    <w:rsid w:val="00BD644B"/>
    <w:rsid w:val="00BE196E"/>
    <w:rsid w:val="00BE2E47"/>
    <w:rsid w:val="00BE36B1"/>
    <w:rsid w:val="00BF645F"/>
    <w:rsid w:val="00C003BE"/>
    <w:rsid w:val="00C029E3"/>
    <w:rsid w:val="00C12E7B"/>
    <w:rsid w:val="00C14F86"/>
    <w:rsid w:val="00C15623"/>
    <w:rsid w:val="00C17E64"/>
    <w:rsid w:val="00C32931"/>
    <w:rsid w:val="00C36584"/>
    <w:rsid w:val="00C46945"/>
    <w:rsid w:val="00C479F4"/>
    <w:rsid w:val="00C47B6F"/>
    <w:rsid w:val="00C530F7"/>
    <w:rsid w:val="00C53B58"/>
    <w:rsid w:val="00C63A37"/>
    <w:rsid w:val="00C6494A"/>
    <w:rsid w:val="00C66BDB"/>
    <w:rsid w:val="00C77A45"/>
    <w:rsid w:val="00C904BB"/>
    <w:rsid w:val="00C91113"/>
    <w:rsid w:val="00C95866"/>
    <w:rsid w:val="00CA2F0D"/>
    <w:rsid w:val="00CA42CA"/>
    <w:rsid w:val="00CB0352"/>
    <w:rsid w:val="00CB527B"/>
    <w:rsid w:val="00CC0E54"/>
    <w:rsid w:val="00CC3E0E"/>
    <w:rsid w:val="00CC5368"/>
    <w:rsid w:val="00CD1CD5"/>
    <w:rsid w:val="00CD20BD"/>
    <w:rsid w:val="00CE3BBB"/>
    <w:rsid w:val="00CE447A"/>
    <w:rsid w:val="00CE54F3"/>
    <w:rsid w:val="00CF3453"/>
    <w:rsid w:val="00CF5718"/>
    <w:rsid w:val="00CF6B2C"/>
    <w:rsid w:val="00D05F4A"/>
    <w:rsid w:val="00D06FE4"/>
    <w:rsid w:val="00D10AC6"/>
    <w:rsid w:val="00D10F3F"/>
    <w:rsid w:val="00D1131D"/>
    <w:rsid w:val="00D16C92"/>
    <w:rsid w:val="00D16CE3"/>
    <w:rsid w:val="00D22FBA"/>
    <w:rsid w:val="00D27D1C"/>
    <w:rsid w:val="00D27D53"/>
    <w:rsid w:val="00D32D8E"/>
    <w:rsid w:val="00D52C32"/>
    <w:rsid w:val="00D64440"/>
    <w:rsid w:val="00D707C6"/>
    <w:rsid w:val="00D74C45"/>
    <w:rsid w:val="00D812E7"/>
    <w:rsid w:val="00D85A92"/>
    <w:rsid w:val="00D92D50"/>
    <w:rsid w:val="00DA48A0"/>
    <w:rsid w:val="00DA74D7"/>
    <w:rsid w:val="00DB2F11"/>
    <w:rsid w:val="00DB4E81"/>
    <w:rsid w:val="00DB7E7C"/>
    <w:rsid w:val="00DC28A9"/>
    <w:rsid w:val="00DC2E7D"/>
    <w:rsid w:val="00DC42FB"/>
    <w:rsid w:val="00DD3F8B"/>
    <w:rsid w:val="00DD4DD9"/>
    <w:rsid w:val="00DD684E"/>
    <w:rsid w:val="00DD7C81"/>
    <w:rsid w:val="00DE0717"/>
    <w:rsid w:val="00DE3471"/>
    <w:rsid w:val="00DE63F8"/>
    <w:rsid w:val="00DF0179"/>
    <w:rsid w:val="00DF1300"/>
    <w:rsid w:val="00DF703F"/>
    <w:rsid w:val="00E050EB"/>
    <w:rsid w:val="00E132D7"/>
    <w:rsid w:val="00E16D9B"/>
    <w:rsid w:val="00E213DD"/>
    <w:rsid w:val="00E34ADD"/>
    <w:rsid w:val="00E44CAE"/>
    <w:rsid w:val="00E5070D"/>
    <w:rsid w:val="00E6233B"/>
    <w:rsid w:val="00E660EA"/>
    <w:rsid w:val="00E66B0D"/>
    <w:rsid w:val="00E74A36"/>
    <w:rsid w:val="00E75190"/>
    <w:rsid w:val="00E8103E"/>
    <w:rsid w:val="00E85F76"/>
    <w:rsid w:val="00E91DC9"/>
    <w:rsid w:val="00E92BB1"/>
    <w:rsid w:val="00E92C16"/>
    <w:rsid w:val="00E94654"/>
    <w:rsid w:val="00EA1705"/>
    <w:rsid w:val="00EA20DB"/>
    <w:rsid w:val="00EA53B4"/>
    <w:rsid w:val="00EA54A5"/>
    <w:rsid w:val="00EB45F6"/>
    <w:rsid w:val="00EB51E9"/>
    <w:rsid w:val="00EB67BF"/>
    <w:rsid w:val="00EC0067"/>
    <w:rsid w:val="00ED1F58"/>
    <w:rsid w:val="00ED439A"/>
    <w:rsid w:val="00EE42F7"/>
    <w:rsid w:val="00EE664E"/>
    <w:rsid w:val="00EF289E"/>
    <w:rsid w:val="00EF39F7"/>
    <w:rsid w:val="00F02ED6"/>
    <w:rsid w:val="00F306AC"/>
    <w:rsid w:val="00F37286"/>
    <w:rsid w:val="00F40C06"/>
    <w:rsid w:val="00F42E60"/>
    <w:rsid w:val="00F44506"/>
    <w:rsid w:val="00F46D99"/>
    <w:rsid w:val="00F51317"/>
    <w:rsid w:val="00F570D5"/>
    <w:rsid w:val="00F60926"/>
    <w:rsid w:val="00F60FD0"/>
    <w:rsid w:val="00F704F4"/>
    <w:rsid w:val="00F81D14"/>
    <w:rsid w:val="00F826CA"/>
    <w:rsid w:val="00F9168D"/>
    <w:rsid w:val="00F950E5"/>
    <w:rsid w:val="00FA62B7"/>
    <w:rsid w:val="00FB0B9B"/>
    <w:rsid w:val="00FB596F"/>
    <w:rsid w:val="00FC2E3E"/>
    <w:rsid w:val="00FC67AD"/>
    <w:rsid w:val="00FD0948"/>
    <w:rsid w:val="00FD26D3"/>
    <w:rsid w:val="00FD5192"/>
    <w:rsid w:val="00FD529B"/>
    <w:rsid w:val="00FE0DA3"/>
    <w:rsid w:val="00FF48ED"/>
    <w:rsid w:val="00FF7E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4B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B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25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B0E"/>
    <w:pPr>
      <w:ind w:left="720"/>
      <w:contextualSpacing/>
    </w:pPr>
  </w:style>
  <w:style w:type="character" w:customStyle="1" w:styleId="Heading1Char">
    <w:name w:val="Heading 1 Char"/>
    <w:basedOn w:val="DefaultParagraphFont"/>
    <w:link w:val="Heading1"/>
    <w:uiPriority w:val="9"/>
    <w:rsid w:val="008D4B0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D4B0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8D4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B0E"/>
    <w:rPr>
      <w:rFonts w:ascii="Tahoma" w:hAnsi="Tahoma" w:cs="Tahoma"/>
      <w:sz w:val="16"/>
      <w:szCs w:val="16"/>
    </w:rPr>
  </w:style>
  <w:style w:type="paragraph" w:customStyle="1" w:styleId="TableText">
    <w:name w:val="Table Text"/>
    <w:basedOn w:val="Title"/>
    <w:rsid w:val="00715EBC"/>
    <w:pPr>
      <w:pBdr>
        <w:bottom w:val="none" w:sz="0" w:space="0" w:color="auto"/>
      </w:pBdr>
      <w:spacing w:after="0" w:line="220" w:lineRule="exact"/>
      <w:contextualSpacing w:val="0"/>
      <w:outlineLvl w:val="0"/>
    </w:pPr>
    <w:rPr>
      <w:rFonts w:ascii="Times New Roman" w:eastAsia="Times New Roman" w:hAnsi="Times New Roman" w:cs="Times New Roman"/>
      <w:color w:val="auto"/>
      <w:spacing w:val="0"/>
      <w:sz w:val="18"/>
      <w:szCs w:val="20"/>
    </w:rPr>
  </w:style>
  <w:style w:type="paragraph" w:styleId="Title">
    <w:name w:val="Title"/>
    <w:basedOn w:val="Normal"/>
    <w:next w:val="Normal"/>
    <w:link w:val="TitleChar"/>
    <w:uiPriority w:val="10"/>
    <w:qFormat/>
    <w:rsid w:val="00715E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5EBC"/>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21571C"/>
    <w:rPr>
      <w:sz w:val="16"/>
      <w:szCs w:val="16"/>
    </w:rPr>
  </w:style>
  <w:style w:type="paragraph" w:styleId="CommentText">
    <w:name w:val="annotation text"/>
    <w:basedOn w:val="Normal"/>
    <w:link w:val="CommentTextChar"/>
    <w:uiPriority w:val="99"/>
    <w:semiHidden/>
    <w:unhideWhenUsed/>
    <w:rsid w:val="0021571C"/>
    <w:pPr>
      <w:spacing w:line="240" w:lineRule="auto"/>
    </w:pPr>
    <w:rPr>
      <w:sz w:val="20"/>
      <w:szCs w:val="20"/>
    </w:rPr>
  </w:style>
  <w:style w:type="character" w:customStyle="1" w:styleId="CommentTextChar">
    <w:name w:val="Comment Text Char"/>
    <w:basedOn w:val="DefaultParagraphFont"/>
    <w:link w:val="CommentText"/>
    <w:uiPriority w:val="99"/>
    <w:semiHidden/>
    <w:rsid w:val="0021571C"/>
    <w:rPr>
      <w:sz w:val="20"/>
      <w:szCs w:val="20"/>
    </w:rPr>
  </w:style>
  <w:style w:type="paragraph" w:styleId="CommentSubject">
    <w:name w:val="annotation subject"/>
    <w:basedOn w:val="CommentText"/>
    <w:next w:val="CommentText"/>
    <w:link w:val="CommentSubjectChar"/>
    <w:uiPriority w:val="99"/>
    <w:semiHidden/>
    <w:unhideWhenUsed/>
    <w:rsid w:val="0021571C"/>
    <w:rPr>
      <w:b/>
      <w:bCs/>
    </w:rPr>
  </w:style>
  <w:style w:type="character" w:customStyle="1" w:styleId="CommentSubjectChar">
    <w:name w:val="Comment Subject Char"/>
    <w:basedOn w:val="CommentTextChar"/>
    <w:link w:val="CommentSubject"/>
    <w:uiPriority w:val="99"/>
    <w:semiHidden/>
    <w:rsid w:val="0021571C"/>
    <w:rPr>
      <w:b/>
      <w:bCs/>
      <w:sz w:val="20"/>
      <w:szCs w:val="20"/>
    </w:rPr>
  </w:style>
  <w:style w:type="paragraph" w:customStyle="1" w:styleId="EndNoteBibliographyTitle">
    <w:name w:val="EndNote Bibliography Title"/>
    <w:basedOn w:val="Normal"/>
    <w:link w:val="EndNoteBibliographyTitleChar"/>
    <w:rsid w:val="008F48A0"/>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8F48A0"/>
    <w:rPr>
      <w:rFonts w:ascii="Calibri" w:hAnsi="Calibri"/>
      <w:noProof/>
      <w:lang w:val="en-US"/>
    </w:rPr>
  </w:style>
  <w:style w:type="paragraph" w:customStyle="1" w:styleId="EndNoteBibliography">
    <w:name w:val="EndNote Bibliography"/>
    <w:basedOn w:val="Normal"/>
    <w:link w:val="EndNoteBibliographyChar"/>
    <w:rsid w:val="008F48A0"/>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8F48A0"/>
    <w:rPr>
      <w:rFonts w:ascii="Calibri" w:hAnsi="Calibri"/>
      <w:noProof/>
      <w:lang w:val="en-US"/>
    </w:rPr>
  </w:style>
  <w:style w:type="character" w:customStyle="1" w:styleId="Heading3Char">
    <w:name w:val="Heading 3 Char"/>
    <w:basedOn w:val="DefaultParagraphFont"/>
    <w:link w:val="Heading3"/>
    <w:uiPriority w:val="9"/>
    <w:rsid w:val="007F25B6"/>
    <w:rPr>
      <w:rFonts w:asciiTheme="majorHAnsi" w:eastAsiaTheme="majorEastAsia" w:hAnsiTheme="majorHAnsi" w:cstheme="majorBidi"/>
      <w:b/>
      <w:bCs/>
      <w:color w:val="4F81BD" w:themeColor="accent1"/>
    </w:rPr>
  </w:style>
  <w:style w:type="table" w:styleId="TableGrid">
    <w:name w:val="Table Grid"/>
    <w:basedOn w:val="TableNormal"/>
    <w:uiPriority w:val="99"/>
    <w:rsid w:val="008C7444"/>
    <w:pPr>
      <w:spacing w:after="0" w:line="240" w:lineRule="auto"/>
    </w:pPr>
    <w:rPr>
      <w:rFonts w:eastAsiaTheme="minorEastAsia"/>
      <w:sz w:val="21"/>
      <w:szCs w:val="21"/>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ROPLUSCAPTION">
    <w:name w:val="ZERO PLUS CAPTION"/>
    <w:basedOn w:val="Caption"/>
    <w:link w:val="ZEROPLUSCAPTIONChar"/>
    <w:qFormat/>
    <w:rsid w:val="008C7444"/>
    <w:pPr>
      <w:spacing w:after="160"/>
    </w:pPr>
    <w:rPr>
      <w:rFonts w:eastAsiaTheme="minorEastAsia"/>
      <w:color w:val="404040" w:themeColor="text1" w:themeTint="BF"/>
      <w:sz w:val="20"/>
      <w:szCs w:val="16"/>
      <w:lang w:val="en-US"/>
    </w:rPr>
  </w:style>
  <w:style w:type="character" w:customStyle="1" w:styleId="ZEROPLUSCAPTIONChar">
    <w:name w:val="ZERO PLUS CAPTION Char"/>
    <w:basedOn w:val="DefaultParagraphFont"/>
    <w:link w:val="ZEROPLUSCAPTION"/>
    <w:rsid w:val="008C7444"/>
    <w:rPr>
      <w:rFonts w:eastAsiaTheme="minorEastAsia"/>
      <w:b/>
      <w:bCs/>
      <w:color w:val="404040" w:themeColor="text1" w:themeTint="BF"/>
      <w:sz w:val="20"/>
      <w:szCs w:val="16"/>
      <w:lang w:val="en-US"/>
    </w:rPr>
  </w:style>
  <w:style w:type="paragraph" w:styleId="Caption">
    <w:name w:val="caption"/>
    <w:basedOn w:val="Normal"/>
    <w:next w:val="Normal"/>
    <w:uiPriority w:val="35"/>
    <w:semiHidden/>
    <w:unhideWhenUsed/>
    <w:qFormat/>
    <w:rsid w:val="008C7444"/>
    <w:pPr>
      <w:spacing w:line="240" w:lineRule="auto"/>
    </w:pPr>
    <w:rPr>
      <w:b/>
      <w:bCs/>
      <w:color w:val="4F81BD" w:themeColor="accent1"/>
      <w:sz w:val="18"/>
      <w:szCs w:val="18"/>
    </w:rPr>
  </w:style>
  <w:style w:type="paragraph" w:customStyle="1" w:styleId="Mainbodytext">
    <w:name w:val="Main body text"/>
    <w:basedOn w:val="Normal"/>
    <w:qFormat/>
    <w:rsid w:val="00D52C32"/>
    <w:pPr>
      <w:spacing w:after="0" w:line="240" w:lineRule="auto"/>
      <w:ind w:firstLine="567"/>
      <w:jc w:val="both"/>
    </w:pPr>
    <w:rPr>
      <w:rFonts w:ascii="Calibri" w:eastAsia="MS Mincho" w:hAnsi="Calibri" w:cs="Times New Roman"/>
      <w:sz w:val="24"/>
      <w:szCs w:val="24"/>
      <w:lang w:eastAsia="zh-CN"/>
    </w:rPr>
  </w:style>
  <w:style w:type="paragraph" w:styleId="Revision">
    <w:name w:val="Revision"/>
    <w:hidden/>
    <w:uiPriority w:val="99"/>
    <w:semiHidden/>
    <w:rsid w:val="00163351"/>
    <w:pPr>
      <w:spacing w:after="0" w:line="240" w:lineRule="auto"/>
    </w:pPr>
  </w:style>
  <w:style w:type="character" w:customStyle="1" w:styleId="apple-converted-space">
    <w:name w:val="apple-converted-space"/>
    <w:basedOn w:val="DefaultParagraphFont"/>
    <w:rsid w:val="00163351"/>
  </w:style>
  <w:style w:type="paragraph" w:styleId="NoSpacing">
    <w:name w:val="No Spacing"/>
    <w:uiPriority w:val="1"/>
    <w:qFormat/>
    <w:rsid w:val="00806C54"/>
    <w:pPr>
      <w:spacing w:after="0" w:line="240" w:lineRule="auto"/>
    </w:pPr>
  </w:style>
  <w:style w:type="character" w:styleId="LineNumber">
    <w:name w:val="line number"/>
    <w:basedOn w:val="DefaultParagraphFont"/>
    <w:uiPriority w:val="99"/>
    <w:semiHidden/>
    <w:unhideWhenUsed/>
    <w:rsid w:val="007E5D3E"/>
  </w:style>
  <w:style w:type="character" w:styleId="Hyperlink">
    <w:name w:val="Hyperlink"/>
    <w:basedOn w:val="DefaultParagraphFont"/>
    <w:uiPriority w:val="99"/>
    <w:unhideWhenUsed/>
    <w:rsid w:val="0084473F"/>
    <w:rPr>
      <w:color w:val="0000FF" w:themeColor="hyperlink"/>
      <w:u w:val="single"/>
    </w:rPr>
  </w:style>
  <w:style w:type="paragraph" w:styleId="EndnoteText">
    <w:name w:val="endnote text"/>
    <w:basedOn w:val="Normal"/>
    <w:link w:val="EndnoteTextChar"/>
    <w:uiPriority w:val="99"/>
    <w:semiHidden/>
    <w:unhideWhenUsed/>
    <w:rsid w:val="00607F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7F24"/>
    <w:rPr>
      <w:sz w:val="20"/>
      <w:szCs w:val="20"/>
    </w:rPr>
  </w:style>
  <w:style w:type="character" w:styleId="EndnoteReference">
    <w:name w:val="endnote reference"/>
    <w:basedOn w:val="DefaultParagraphFont"/>
    <w:uiPriority w:val="99"/>
    <w:semiHidden/>
    <w:unhideWhenUsed/>
    <w:rsid w:val="00607F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4B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B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25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B0E"/>
    <w:pPr>
      <w:ind w:left="720"/>
      <w:contextualSpacing/>
    </w:pPr>
  </w:style>
  <w:style w:type="character" w:customStyle="1" w:styleId="Heading1Char">
    <w:name w:val="Heading 1 Char"/>
    <w:basedOn w:val="DefaultParagraphFont"/>
    <w:link w:val="Heading1"/>
    <w:uiPriority w:val="9"/>
    <w:rsid w:val="008D4B0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D4B0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8D4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B0E"/>
    <w:rPr>
      <w:rFonts w:ascii="Tahoma" w:hAnsi="Tahoma" w:cs="Tahoma"/>
      <w:sz w:val="16"/>
      <w:szCs w:val="16"/>
    </w:rPr>
  </w:style>
  <w:style w:type="paragraph" w:customStyle="1" w:styleId="TableText">
    <w:name w:val="Table Text"/>
    <w:basedOn w:val="Title"/>
    <w:rsid w:val="00715EBC"/>
    <w:pPr>
      <w:pBdr>
        <w:bottom w:val="none" w:sz="0" w:space="0" w:color="auto"/>
      </w:pBdr>
      <w:spacing w:after="0" w:line="220" w:lineRule="exact"/>
      <w:contextualSpacing w:val="0"/>
      <w:outlineLvl w:val="0"/>
    </w:pPr>
    <w:rPr>
      <w:rFonts w:ascii="Times New Roman" w:eastAsia="Times New Roman" w:hAnsi="Times New Roman" w:cs="Times New Roman"/>
      <w:color w:val="auto"/>
      <w:spacing w:val="0"/>
      <w:sz w:val="18"/>
      <w:szCs w:val="20"/>
    </w:rPr>
  </w:style>
  <w:style w:type="paragraph" w:styleId="Title">
    <w:name w:val="Title"/>
    <w:basedOn w:val="Normal"/>
    <w:next w:val="Normal"/>
    <w:link w:val="TitleChar"/>
    <w:uiPriority w:val="10"/>
    <w:qFormat/>
    <w:rsid w:val="00715E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5EBC"/>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21571C"/>
    <w:rPr>
      <w:sz w:val="16"/>
      <w:szCs w:val="16"/>
    </w:rPr>
  </w:style>
  <w:style w:type="paragraph" w:styleId="CommentText">
    <w:name w:val="annotation text"/>
    <w:basedOn w:val="Normal"/>
    <w:link w:val="CommentTextChar"/>
    <w:uiPriority w:val="99"/>
    <w:semiHidden/>
    <w:unhideWhenUsed/>
    <w:rsid w:val="0021571C"/>
    <w:pPr>
      <w:spacing w:line="240" w:lineRule="auto"/>
    </w:pPr>
    <w:rPr>
      <w:sz w:val="20"/>
      <w:szCs w:val="20"/>
    </w:rPr>
  </w:style>
  <w:style w:type="character" w:customStyle="1" w:styleId="CommentTextChar">
    <w:name w:val="Comment Text Char"/>
    <w:basedOn w:val="DefaultParagraphFont"/>
    <w:link w:val="CommentText"/>
    <w:uiPriority w:val="99"/>
    <w:semiHidden/>
    <w:rsid w:val="0021571C"/>
    <w:rPr>
      <w:sz w:val="20"/>
      <w:szCs w:val="20"/>
    </w:rPr>
  </w:style>
  <w:style w:type="paragraph" w:styleId="CommentSubject">
    <w:name w:val="annotation subject"/>
    <w:basedOn w:val="CommentText"/>
    <w:next w:val="CommentText"/>
    <w:link w:val="CommentSubjectChar"/>
    <w:uiPriority w:val="99"/>
    <w:semiHidden/>
    <w:unhideWhenUsed/>
    <w:rsid w:val="0021571C"/>
    <w:rPr>
      <w:b/>
      <w:bCs/>
    </w:rPr>
  </w:style>
  <w:style w:type="character" w:customStyle="1" w:styleId="CommentSubjectChar">
    <w:name w:val="Comment Subject Char"/>
    <w:basedOn w:val="CommentTextChar"/>
    <w:link w:val="CommentSubject"/>
    <w:uiPriority w:val="99"/>
    <w:semiHidden/>
    <w:rsid w:val="0021571C"/>
    <w:rPr>
      <w:b/>
      <w:bCs/>
      <w:sz w:val="20"/>
      <w:szCs w:val="20"/>
    </w:rPr>
  </w:style>
  <w:style w:type="paragraph" w:customStyle="1" w:styleId="EndNoteBibliographyTitle">
    <w:name w:val="EndNote Bibliography Title"/>
    <w:basedOn w:val="Normal"/>
    <w:link w:val="EndNoteBibliographyTitleChar"/>
    <w:rsid w:val="008F48A0"/>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8F48A0"/>
    <w:rPr>
      <w:rFonts w:ascii="Calibri" w:hAnsi="Calibri"/>
      <w:noProof/>
      <w:lang w:val="en-US"/>
    </w:rPr>
  </w:style>
  <w:style w:type="paragraph" w:customStyle="1" w:styleId="EndNoteBibliography">
    <w:name w:val="EndNote Bibliography"/>
    <w:basedOn w:val="Normal"/>
    <w:link w:val="EndNoteBibliographyChar"/>
    <w:rsid w:val="008F48A0"/>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8F48A0"/>
    <w:rPr>
      <w:rFonts w:ascii="Calibri" w:hAnsi="Calibri"/>
      <w:noProof/>
      <w:lang w:val="en-US"/>
    </w:rPr>
  </w:style>
  <w:style w:type="character" w:customStyle="1" w:styleId="Heading3Char">
    <w:name w:val="Heading 3 Char"/>
    <w:basedOn w:val="DefaultParagraphFont"/>
    <w:link w:val="Heading3"/>
    <w:uiPriority w:val="9"/>
    <w:rsid w:val="007F25B6"/>
    <w:rPr>
      <w:rFonts w:asciiTheme="majorHAnsi" w:eastAsiaTheme="majorEastAsia" w:hAnsiTheme="majorHAnsi" w:cstheme="majorBidi"/>
      <w:b/>
      <w:bCs/>
      <w:color w:val="4F81BD" w:themeColor="accent1"/>
    </w:rPr>
  </w:style>
  <w:style w:type="table" w:styleId="TableGrid">
    <w:name w:val="Table Grid"/>
    <w:basedOn w:val="TableNormal"/>
    <w:uiPriority w:val="99"/>
    <w:rsid w:val="008C7444"/>
    <w:pPr>
      <w:spacing w:after="0" w:line="240" w:lineRule="auto"/>
    </w:pPr>
    <w:rPr>
      <w:rFonts w:eastAsiaTheme="minorEastAsia"/>
      <w:sz w:val="21"/>
      <w:szCs w:val="21"/>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ROPLUSCAPTION">
    <w:name w:val="ZERO PLUS CAPTION"/>
    <w:basedOn w:val="Caption"/>
    <w:link w:val="ZEROPLUSCAPTIONChar"/>
    <w:qFormat/>
    <w:rsid w:val="008C7444"/>
    <w:pPr>
      <w:spacing w:after="160"/>
    </w:pPr>
    <w:rPr>
      <w:rFonts w:eastAsiaTheme="minorEastAsia"/>
      <w:color w:val="404040" w:themeColor="text1" w:themeTint="BF"/>
      <w:sz w:val="20"/>
      <w:szCs w:val="16"/>
      <w:lang w:val="en-US"/>
    </w:rPr>
  </w:style>
  <w:style w:type="character" w:customStyle="1" w:styleId="ZEROPLUSCAPTIONChar">
    <w:name w:val="ZERO PLUS CAPTION Char"/>
    <w:basedOn w:val="DefaultParagraphFont"/>
    <w:link w:val="ZEROPLUSCAPTION"/>
    <w:rsid w:val="008C7444"/>
    <w:rPr>
      <w:rFonts w:eastAsiaTheme="minorEastAsia"/>
      <w:b/>
      <w:bCs/>
      <w:color w:val="404040" w:themeColor="text1" w:themeTint="BF"/>
      <w:sz w:val="20"/>
      <w:szCs w:val="16"/>
      <w:lang w:val="en-US"/>
    </w:rPr>
  </w:style>
  <w:style w:type="paragraph" w:styleId="Caption">
    <w:name w:val="caption"/>
    <w:basedOn w:val="Normal"/>
    <w:next w:val="Normal"/>
    <w:uiPriority w:val="35"/>
    <w:semiHidden/>
    <w:unhideWhenUsed/>
    <w:qFormat/>
    <w:rsid w:val="008C7444"/>
    <w:pPr>
      <w:spacing w:line="240" w:lineRule="auto"/>
    </w:pPr>
    <w:rPr>
      <w:b/>
      <w:bCs/>
      <w:color w:val="4F81BD" w:themeColor="accent1"/>
      <w:sz w:val="18"/>
      <w:szCs w:val="18"/>
    </w:rPr>
  </w:style>
  <w:style w:type="paragraph" w:customStyle="1" w:styleId="Mainbodytext">
    <w:name w:val="Main body text"/>
    <w:basedOn w:val="Normal"/>
    <w:qFormat/>
    <w:rsid w:val="00D52C32"/>
    <w:pPr>
      <w:spacing w:after="0" w:line="240" w:lineRule="auto"/>
      <w:ind w:firstLine="567"/>
      <w:jc w:val="both"/>
    </w:pPr>
    <w:rPr>
      <w:rFonts w:ascii="Calibri" w:eastAsia="MS Mincho" w:hAnsi="Calibri" w:cs="Times New Roman"/>
      <w:sz w:val="24"/>
      <w:szCs w:val="24"/>
      <w:lang w:eastAsia="zh-CN"/>
    </w:rPr>
  </w:style>
  <w:style w:type="paragraph" w:styleId="Revision">
    <w:name w:val="Revision"/>
    <w:hidden/>
    <w:uiPriority w:val="99"/>
    <w:semiHidden/>
    <w:rsid w:val="00163351"/>
    <w:pPr>
      <w:spacing w:after="0" w:line="240" w:lineRule="auto"/>
    </w:pPr>
  </w:style>
  <w:style w:type="character" w:customStyle="1" w:styleId="apple-converted-space">
    <w:name w:val="apple-converted-space"/>
    <w:basedOn w:val="DefaultParagraphFont"/>
    <w:rsid w:val="00163351"/>
  </w:style>
  <w:style w:type="paragraph" w:styleId="NoSpacing">
    <w:name w:val="No Spacing"/>
    <w:uiPriority w:val="1"/>
    <w:qFormat/>
    <w:rsid w:val="00806C54"/>
    <w:pPr>
      <w:spacing w:after="0" w:line="240" w:lineRule="auto"/>
    </w:pPr>
  </w:style>
  <w:style w:type="character" w:styleId="LineNumber">
    <w:name w:val="line number"/>
    <w:basedOn w:val="DefaultParagraphFont"/>
    <w:uiPriority w:val="99"/>
    <w:semiHidden/>
    <w:unhideWhenUsed/>
    <w:rsid w:val="007E5D3E"/>
  </w:style>
  <w:style w:type="character" w:styleId="Hyperlink">
    <w:name w:val="Hyperlink"/>
    <w:basedOn w:val="DefaultParagraphFont"/>
    <w:uiPriority w:val="99"/>
    <w:unhideWhenUsed/>
    <w:rsid w:val="0084473F"/>
    <w:rPr>
      <w:color w:val="0000FF" w:themeColor="hyperlink"/>
      <w:u w:val="single"/>
    </w:rPr>
  </w:style>
  <w:style w:type="paragraph" w:styleId="EndnoteText">
    <w:name w:val="endnote text"/>
    <w:basedOn w:val="Normal"/>
    <w:link w:val="EndnoteTextChar"/>
    <w:uiPriority w:val="99"/>
    <w:semiHidden/>
    <w:unhideWhenUsed/>
    <w:rsid w:val="00607F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7F24"/>
    <w:rPr>
      <w:sz w:val="20"/>
      <w:szCs w:val="20"/>
    </w:rPr>
  </w:style>
  <w:style w:type="character" w:styleId="EndnoteReference">
    <w:name w:val="endnote reference"/>
    <w:basedOn w:val="DefaultParagraphFont"/>
    <w:uiPriority w:val="99"/>
    <w:semiHidden/>
    <w:unhideWhenUsed/>
    <w:rsid w:val="00607F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402474">
      <w:bodyDiv w:val="1"/>
      <w:marLeft w:val="0"/>
      <w:marRight w:val="0"/>
      <w:marTop w:val="0"/>
      <w:marBottom w:val="0"/>
      <w:divBdr>
        <w:top w:val="none" w:sz="0" w:space="0" w:color="auto"/>
        <w:left w:val="none" w:sz="0" w:space="0" w:color="auto"/>
        <w:bottom w:val="none" w:sz="0" w:space="0" w:color="auto"/>
        <w:right w:val="none" w:sz="0" w:space="0" w:color="auto"/>
      </w:divBdr>
      <w:divsChild>
        <w:div w:id="1367868780">
          <w:marLeft w:val="0"/>
          <w:marRight w:val="0"/>
          <w:marTop w:val="0"/>
          <w:marBottom w:val="0"/>
          <w:divBdr>
            <w:top w:val="none" w:sz="0" w:space="0" w:color="auto"/>
            <w:left w:val="none" w:sz="0" w:space="0" w:color="auto"/>
            <w:bottom w:val="none" w:sz="0" w:space="0" w:color="auto"/>
            <w:right w:val="none" w:sz="0" w:space="0" w:color="auto"/>
          </w:divBdr>
        </w:div>
        <w:div w:id="65881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rgupta@brookes.ac.uk"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att\Desktop\EandB%20ZP%20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att\Desktop\EandB%20ZP%20graphs.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matt\Desktop\EandB%20ZP%20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Baseline models</a:t>
            </a:r>
            <a:r>
              <a:rPr lang="en-US" baseline="0"/>
              <a:t> (Pre-NZE)</a:t>
            </a:r>
            <a:endParaRPr lang="en-US"/>
          </a:p>
        </c:rich>
      </c:tx>
      <c:overlay val="0"/>
    </c:title>
    <c:autoTitleDeleted val="0"/>
    <c:plotArea>
      <c:layout/>
      <c:barChart>
        <c:barDir val="bar"/>
        <c:grouping val="stacked"/>
        <c:varyColors val="0"/>
        <c:ser>
          <c:idx val="0"/>
          <c:order val="0"/>
          <c:tx>
            <c:strRef>
              <c:f>Sheet3!$C$14</c:f>
              <c:strCache>
                <c:ptCount val="1"/>
                <c:pt idx="0">
                  <c:v>Building integrated RE</c:v>
                </c:pt>
              </c:strCache>
            </c:strRef>
          </c:tx>
          <c:spPr>
            <a:noFill/>
            <a:ln>
              <a:solidFill>
                <a:sysClr val="windowText" lastClr="000000"/>
              </a:solidFill>
            </a:ln>
          </c:spPr>
          <c:invertIfNegative val="0"/>
          <c:dLbls>
            <c:dLbl>
              <c:idx val="0"/>
              <c:dLblPos val="ctr"/>
              <c:showLegendKey val="0"/>
              <c:showVal val="1"/>
              <c:showCatName val="0"/>
              <c:showSerName val="0"/>
              <c:showPercent val="0"/>
              <c:showBubbleSize val="0"/>
            </c:dLbl>
            <c:dLbl>
              <c:idx val="1"/>
              <c:dLblPos val="ctr"/>
              <c:showLegendKey val="0"/>
              <c:showVal val="1"/>
              <c:showCatName val="0"/>
              <c:showSerName val="0"/>
              <c:showPercent val="0"/>
              <c:showBubbleSize val="0"/>
            </c:dLbl>
            <c:dLbl>
              <c:idx val="2"/>
              <c:dLblPos val="ctr"/>
              <c:showLegendKey val="0"/>
              <c:showVal val="1"/>
              <c:showCatName val="0"/>
              <c:showSerName val="0"/>
              <c:showPercent val="0"/>
              <c:showBubbleSize val="0"/>
            </c:dLbl>
            <c:dLbl>
              <c:idx val="3"/>
              <c:layout>
                <c:manualLayout>
                  <c:x val="0"/>
                  <c:y val="-3.0864197530864198E-7"/>
                </c:manualLayout>
              </c:layout>
              <c:dLblPos val="ctr"/>
              <c:showLegendKey val="0"/>
              <c:showVal val="1"/>
              <c:showCatName val="0"/>
              <c:showSerName val="0"/>
              <c:showPercent val="0"/>
              <c:showBubbleSize val="0"/>
            </c:dLbl>
            <c:dLbl>
              <c:idx val="4"/>
              <c:dLblPos val="ctr"/>
              <c:showLegendKey val="0"/>
              <c:showVal val="1"/>
              <c:showCatName val="0"/>
              <c:showSerName val="0"/>
              <c:showPercent val="0"/>
              <c:showBubbleSize val="0"/>
            </c:dLbl>
            <c:dLbl>
              <c:idx val="5"/>
              <c:dLblPos val="ctr"/>
              <c:showLegendKey val="0"/>
              <c:showVal val="1"/>
              <c:showCatName val="0"/>
              <c:showSerName val="0"/>
              <c:showPercent val="0"/>
              <c:showBubbleSize val="0"/>
            </c:dLbl>
            <c:dLbl>
              <c:idx val="6"/>
              <c:dLblPos val="ctr"/>
              <c:showLegendKey val="0"/>
              <c:showVal val="1"/>
              <c:showCatName val="0"/>
              <c:showSerName val="0"/>
              <c:showPercent val="0"/>
              <c:showBubbleSize val="0"/>
            </c:dLbl>
            <c:dLbl>
              <c:idx val="7"/>
              <c:dLblPos val="ctr"/>
              <c:showLegendKey val="0"/>
              <c:showVal val="1"/>
              <c:showCatName val="0"/>
              <c:showSerName val="0"/>
              <c:showPercent val="0"/>
              <c:showBubbleSize val="0"/>
            </c:dLbl>
            <c:spPr>
              <a:noFill/>
            </c:spPr>
            <c:showLegendKey val="0"/>
            <c:showVal val="0"/>
            <c:showCatName val="0"/>
            <c:showSerName val="0"/>
            <c:showPercent val="0"/>
            <c:showBubbleSize val="0"/>
          </c:dLbls>
          <c:cat>
            <c:multiLvlStrRef>
              <c:f>Sheet3!$A$15:$B$22</c:f>
              <c:multiLvlStrCache>
                <c:ptCount val="8"/>
                <c:lvl>
                  <c:pt idx="0">
                    <c:v>Reference Typ.</c:v>
                  </c:pt>
                  <c:pt idx="1">
                    <c:v>Reference Reg.</c:v>
                  </c:pt>
                  <c:pt idx="2">
                    <c:v>Baseline</c:v>
                  </c:pt>
                  <c:pt idx="3">
                    <c:v>Baseline+</c:v>
                  </c:pt>
                  <c:pt idx="4">
                    <c:v>Reference Typ.</c:v>
                  </c:pt>
                  <c:pt idx="5">
                    <c:v>Reference Reg.</c:v>
                  </c:pt>
                  <c:pt idx="6">
                    <c:v>Baseline</c:v>
                  </c:pt>
                  <c:pt idx="7">
                    <c:v>Baseline+</c:v>
                  </c:pt>
                </c:lvl>
                <c:lvl>
                  <c:pt idx="0">
                    <c:v>Dwelling A</c:v>
                  </c:pt>
                  <c:pt idx="4">
                    <c:v>Dwelling B</c:v>
                  </c:pt>
                </c:lvl>
              </c:multiLvlStrCache>
            </c:multiLvlStrRef>
          </c:cat>
          <c:val>
            <c:numRef>
              <c:f>Sheet3!$C$15:$C$22</c:f>
              <c:numCache>
                <c:formatCode>General</c:formatCode>
                <c:ptCount val="8"/>
                <c:pt idx="3">
                  <c:v>-20</c:v>
                </c:pt>
                <c:pt idx="7">
                  <c:v>-13</c:v>
                </c:pt>
              </c:numCache>
            </c:numRef>
          </c:val>
        </c:ser>
        <c:ser>
          <c:idx val="1"/>
          <c:order val="1"/>
          <c:tx>
            <c:strRef>
              <c:f>Sheet3!$D$14</c:f>
              <c:strCache>
                <c:ptCount val="1"/>
                <c:pt idx="0">
                  <c:v>Regulated energy use</c:v>
                </c:pt>
              </c:strCache>
            </c:strRef>
          </c:tx>
          <c:spPr>
            <a:solidFill>
              <a:schemeClr val="tx1"/>
            </a:solidFill>
            <a:ln>
              <a:noFill/>
            </a:ln>
          </c:spPr>
          <c:invertIfNegative val="0"/>
          <c:dLbls>
            <c:dLbl>
              <c:idx val="0"/>
              <c:dLblPos val="ctr"/>
              <c:showLegendKey val="0"/>
              <c:showVal val="1"/>
              <c:showCatName val="0"/>
              <c:showSerName val="0"/>
              <c:showPercent val="0"/>
              <c:showBubbleSize val="0"/>
            </c:dLbl>
            <c:dLbl>
              <c:idx val="1"/>
              <c:dLblPos val="ctr"/>
              <c:showLegendKey val="0"/>
              <c:showVal val="1"/>
              <c:showCatName val="0"/>
              <c:showSerName val="0"/>
              <c:showPercent val="0"/>
              <c:showBubbleSize val="0"/>
            </c:dLbl>
            <c:dLbl>
              <c:idx val="2"/>
              <c:dLblPos val="ctr"/>
              <c:showLegendKey val="0"/>
              <c:showVal val="1"/>
              <c:showCatName val="0"/>
              <c:showSerName val="0"/>
              <c:showPercent val="0"/>
              <c:showBubbleSize val="0"/>
            </c:dLbl>
            <c:dLbl>
              <c:idx val="3"/>
              <c:dLblPos val="ctr"/>
              <c:showLegendKey val="0"/>
              <c:showVal val="1"/>
              <c:showCatName val="0"/>
              <c:showSerName val="0"/>
              <c:showPercent val="0"/>
              <c:showBubbleSize val="0"/>
            </c:dLbl>
            <c:dLbl>
              <c:idx val="4"/>
              <c:dLblPos val="ctr"/>
              <c:showLegendKey val="0"/>
              <c:showVal val="1"/>
              <c:showCatName val="0"/>
              <c:showSerName val="0"/>
              <c:showPercent val="0"/>
              <c:showBubbleSize val="0"/>
            </c:dLbl>
            <c:dLbl>
              <c:idx val="5"/>
              <c:dLblPos val="ctr"/>
              <c:showLegendKey val="0"/>
              <c:showVal val="1"/>
              <c:showCatName val="0"/>
              <c:showSerName val="0"/>
              <c:showPercent val="0"/>
              <c:showBubbleSize val="0"/>
            </c:dLbl>
            <c:dLbl>
              <c:idx val="6"/>
              <c:dLblPos val="ctr"/>
              <c:showLegendKey val="0"/>
              <c:showVal val="1"/>
              <c:showCatName val="0"/>
              <c:showSerName val="0"/>
              <c:showPercent val="0"/>
              <c:showBubbleSize val="0"/>
            </c:dLbl>
            <c:dLbl>
              <c:idx val="7"/>
              <c:dLblPos val="ctr"/>
              <c:showLegendKey val="0"/>
              <c:showVal val="1"/>
              <c:showCatName val="0"/>
              <c:showSerName val="0"/>
              <c:showPercent val="0"/>
              <c:showBubbleSize val="0"/>
            </c:dLbl>
            <c:txPr>
              <a:bodyPr/>
              <a:lstStyle/>
              <a:p>
                <a:pPr>
                  <a:defRPr b="1">
                    <a:solidFill>
                      <a:schemeClr val="bg1"/>
                    </a:solidFill>
                  </a:defRPr>
                </a:pPr>
                <a:endParaRPr lang="en-US"/>
              </a:p>
            </c:txPr>
            <c:showLegendKey val="0"/>
            <c:showVal val="0"/>
            <c:showCatName val="0"/>
            <c:showSerName val="0"/>
            <c:showPercent val="0"/>
            <c:showBubbleSize val="0"/>
          </c:dLbls>
          <c:cat>
            <c:multiLvlStrRef>
              <c:f>Sheet3!$A$15:$B$22</c:f>
              <c:multiLvlStrCache>
                <c:ptCount val="8"/>
                <c:lvl>
                  <c:pt idx="0">
                    <c:v>Reference Typ.</c:v>
                  </c:pt>
                  <c:pt idx="1">
                    <c:v>Reference Reg.</c:v>
                  </c:pt>
                  <c:pt idx="2">
                    <c:v>Baseline</c:v>
                  </c:pt>
                  <c:pt idx="3">
                    <c:v>Baseline+</c:v>
                  </c:pt>
                  <c:pt idx="4">
                    <c:v>Reference Typ.</c:v>
                  </c:pt>
                  <c:pt idx="5">
                    <c:v>Reference Reg.</c:v>
                  </c:pt>
                  <c:pt idx="6">
                    <c:v>Baseline</c:v>
                  </c:pt>
                  <c:pt idx="7">
                    <c:v>Baseline+</c:v>
                  </c:pt>
                </c:lvl>
                <c:lvl>
                  <c:pt idx="0">
                    <c:v>Dwelling A</c:v>
                  </c:pt>
                  <c:pt idx="4">
                    <c:v>Dwelling B</c:v>
                  </c:pt>
                </c:lvl>
              </c:multiLvlStrCache>
            </c:multiLvlStrRef>
          </c:cat>
          <c:val>
            <c:numRef>
              <c:f>Sheet3!$D$15:$D$22</c:f>
              <c:numCache>
                <c:formatCode>0</c:formatCode>
                <c:ptCount val="8"/>
                <c:pt idx="0">
                  <c:v>198.24561403508773</c:v>
                </c:pt>
                <c:pt idx="1">
                  <c:v>113</c:v>
                </c:pt>
                <c:pt idx="2">
                  <c:v>68</c:v>
                </c:pt>
                <c:pt idx="3">
                  <c:v>63</c:v>
                </c:pt>
                <c:pt idx="4">
                  <c:v>203.84615384615384</c:v>
                </c:pt>
                <c:pt idx="5">
                  <c:v>106</c:v>
                </c:pt>
                <c:pt idx="6">
                  <c:v>61</c:v>
                </c:pt>
                <c:pt idx="7">
                  <c:v>56</c:v>
                </c:pt>
              </c:numCache>
            </c:numRef>
          </c:val>
        </c:ser>
        <c:ser>
          <c:idx val="2"/>
          <c:order val="2"/>
          <c:tx>
            <c:strRef>
              <c:f>Sheet3!$E$14</c:f>
              <c:strCache>
                <c:ptCount val="1"/>
                <c:pt idx="0">
                  <c:v>Un-regulated energy use</c:v>
                </c:pt>
              </c:strCache>
            </c:strRef>
          </c:tx>
          <c:spPr>
            <a:solidFill>
              <a:schemeClr val="bg1">
                <a:lumMod val="75000"/>
              </a:schemeClr>
            </a:solidFill>
          </c:spPr>
          <c:invertIfNegative val="0"/>
          <c:dLbls>
            <c:showLegendKey val="0"/>
            <c:showVal val="1"/>
            <c:showCatName val="0"/>
            <c:showSerName val="0"/>
            <c:showPercent val="0"/>
            <c:showBubbleSize val="0"/>
            <c:showLeaderLines val="0"/>
          </c:dLbls>
          <c:cat>
            <c:multiLvlStrRef>
              <c:f>Sheet3!$A$15:$B$22</c:f>
              <c:multiLvlStrCache>
                <c:ptCount val="8"/>
                <c:lvl>
                  <c:pt idx="0">
                    <c:v>Reference Typ.</c:v>
                  </c:pt>
                  <c:pt idx="1">
                    <c:v>Reference Reg.</c:v>
                  </c:pt>
                  <c:pt idx="2">
                    <c:v>Baseline</c:v>
                  </c:pt>
                  <c:pt idx="3">
                    <c:v>Baseline+</c:v>
                  </c:pt>
                  <c:pt idx="4">
                    <c:v>Reference Typ.</c:v>
                  </c:pt>
                  <c:pt idx="5">
                    <c:v>Reference Reg.</c:v>
                  </c:pt>
                  <c:pt idx="6">
                    <c:v>Baseline</c:v>
                  </c:pt>
                  <c:pt idx="7">
                    <c:v>Baseline+</c:v>
                  </c:pt>
                </c:lvl>
                <c:lvl>
                  <c:pt idx="0">
                    <c:v>Dwelling A</c:v>
                  </c:pt>
                  <c:pt idx="4">
                    <c:v>Dwelling B</c:v>
                  </c:pt>
                </c:lvl>
              </c:multiLvlStrCache>
            </c:multiLvlStrRef>
          </c:cat>
          <c:val>
            <c:numRef>
              <c:f>Sheet3!$E$15:$E$22</c:f>
              <c:numCache>
                <c:formatCode>0</c:formatCode>
                <c:ptCount val="8"/>
                <c:pt idx="0">
                  <c:v>53</c:v>
                </c:pt>
                <c:pt idx="1">
                  <c:v>53</c:v>
                </c:pt>
                <c:pt idx="2">
                  <c:v>53</c:v>
                </c:pt>
                <c:pt idx="3">
                  <c:v>32</c:v>
                </c:pt>
                <c:pt idx="4">
                  <c:v>34</c:v>
                </c:pt>
                <c:pt idx="5">
                  <c:v>34</c:v>
                </c:pt>
                <c:pt idx="6">
                  <c:v>34</c:v>
                </c:pt>
                <c:pt idx="7">
                  <c:v>21</c:v>
                </c:pt>
              </c:numCache>
            </c:numRef>
          </c:val>
        </c:ser>
        <c:dLbls>
          <c:showLegendKey val="0"/>
          <c:showVal val="0"/>
          <c:showCatName val="0"/>
          <c:showSerName val="0"/>
          <c:showPercent val="0"/>
          <c:showBubbleSize val="0"/>
        </c:dLbls>
        <c:gapWidth val="50"/>
        <c:overlap val="100"/>
        <c:axId val="62878848"/>
        <c:axId val="62880384"/>
      </c:barChart>
      <c:catAx>
        <c:axId val="62878848"/>
        <c:scaling>
          <c:orientation val="maxMin"/>
        </c:scaling>
        <c:delete val="0"/>
        <c:axPos val="l"/>
        <c:majorTickMark val="out"/>
        <c:minorTickMark val="none"/>
        <c:tickLblPos val="low"/>
        <c:crossAx val="62880384"/>
        <c:crosses val="autoZero"/>
        <c:auto val="1"/>
        <c:lblAlgn val="ctr"/>
        <c:lblOffset val="100"/>
        <c:tickLblSkip val="1"/>
        <c:tickMarkSkip val="1"/>
        <c:noMultiLvlLbl val="0"/>
      </c:catAx>
      <c:valAx>
        <c:axId val="62880384"/>
        <c:scaling>
          <c:orientation val="minMax"/>
          <c:max val="260"/>
          <c:min val="-20"/>
        </c:scaling>
        <c:delete val="0"/>
        <c:axPos val="b"/>
        <c:majorGridlines/>
        <c:title>
          <c:tx>
            <c:rich>
              <a:bodyPr/>
              <a:lstStyle/>
              <a:p>
                <a:pPr>
                  <a:defRPr/>
                </a:pPr>
                <a:r>
                  <a:rPr lang="en-US"/>
                  <a:t>kWh/m</a:t>
                </a:r>
                <a:r>
                  <a:rPr lang="en-US" baseline="30000"/>
                  <a:t>2</a:t>
                </a:r>
                <a:r>
                  <a:rPr lang="en-US"/>
                  <a:t>/yr</a:t>
                </a:r>
              </a:p>
            </c:rich>
          </c:tx>
          <c:overlay val="0"/>
        </c:title>
        <c:numFmt formatCode="General" sourceLinked="1"/>
        <c:majorTickMark val="out"/>
        <c:minorTickMark val="none"/>
        <c:tickLblPos val="nextTo"/>
        <c:crossAx val="62878848"/>
        <c:crosses val="max"/>
        <c:crossBetween val="between"/>
        <c:majorUnit val="20"/>
      </c:valAx>
    </c:plotArea>
    <c:legend>
      <c:legendPos val="b"/>
      <c:overlay val="0"/>
    </c:legend>
    <c:plotVisOnly val="1"/>
    <c:dispBlanksAs val="gap"/>
    <c:showDLblsOverMax val="0"/>
  </c:chart>
  <c:spPr>
    <a:ln>
      <a:noFill/>
    </a:ln>
  </c:spPr>
  <c:txPr>
    <a:bodyPr/>
    <a:lstStyle/>
    <a:p>
      <a:pPr>
        <a:defRPr sz="10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Individual NZE red+gen technology performance</a:t>
            </a:r>
          </a:p>
        </c:rich>
      </c:tx>
      <c:overlay val="0"/>
    </c:title>
    <c:autoTitleDeleted val="0"/>
    <c:plotArea>
      <c:layout/>
      <c:barChart>
        <c:barDir val="bar"/>
        <c:grouping val="stacked"/>
        <c:varyColors val="0"/>
        <c:ser>
          <c:idx val="0"/>
          <c:order val="0"/>
          <c:tx>
            <c:strRef>
              <c:f>Sheet1!$C$3</c:f>
              <c:strCache>
                <c:ptCount val="1"/>
                <c:pt idx="0">
                  <c:v>Community level RE</c:v>
                </c:pt>
              </c:strCache>
            </c:strRef>
          </c:tx>
          <c:spPr>
            <a:noFill/>
            <a:ln>
              <a:solidFill>
                <a:sysClr val="windowText" lastClr="000000"/>
              </a:solidFill>
            </a:ln>
          </c:spPr>
          <c:invertIfNegative val="0"/>
          <c:dLbls>
            <c:dLbl>
              <c:idx val="4"/>
              <c:layout>
                <c:manualLayout>
                  <c:x val="-3.7650602409638599E-2"/>
                  <c:y val="5.6338028169014599E-3"/>
                </c:manualLayout>
              </c:layout>
              <c:showLegendKey val="0"/>
              <c:showVal val="1"/>
              <c:showCatName val="0"/>
              <c:showSerName val="0"/>
              <c:showPercent val="0"/>
              <c:showBubbleSize val="0"/>
            </c:dLbl>
            <c:dLbl>
              <c:idx val="5"/>
              <c:layout>
                <c:manualLayout>
                  <c:x val="-3.4638554216867498E-2"/>
                  <c:y val="-2.8169014084507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multiLvlStrRef>
              <c:f>Sheet1!$A$4:$B$13</c:f>
              <c:multiLvlStrCache>
                <c:ptCount val="10"/>
                <c:lvl>
                  <c:pt idx="0">
                    <c:v>Adv. Ins.</c:v>
                  </c:pt>
                  <c:pt idx="1">
                    <c:v>biPV</c:v>
                  </c:pt>
                  <c:pt idx="2">
                    <c:v>CHP</c:v>
                  </c:pt>
                  <c:pt idx="3">
                    <c:v>WindPV</c:v>
                  </c:pt>
                  <c:pt idx="4">
                    <c:v>BEMS</c:v>
                  </c:pt>
                  <c:pt idx="5">
                    <c:v>Adv. Ins.</c:v>
                  </c:pt>
                  <c:pt idx="6">
                    <c:v>biPV</c:v>
                  </c:pt>
                  <c:pt idx="7">
                    <c:v>CHP</c:v>
                  </c:pt>
                  <c:pt idx="8">
                    <c:v>WindPV</c:v>
                  </c:pt>
                  <c:pt idx="9">
                    <c:v>BEMS</c:v>
                  </c:pt>
                </c:lvl>
                <c:lvl>
                  <c:pt idx="0">
                    <c:v>Dwelling A</c:v>
                  </c:pt>
                  <c:pt idx="5">
                    <c:v>Dwelling B</c:v>
                  </c:pt>
                </c:lvl>
              </c:multiLvlStrCache>
            </c:multiLvlStrRef>
          </c:cat>
          <c:val>
            <c:numRef>
              <c:f>Sheet1!$C$4:$C$13</c:f>
              <c:numCache>
                <c:formatCode>General</c:formatCode>
                <c:ptCount val="10"/>
                <c:pt idx="2">
                  <c:v>-11</c:v>
                </c:pt>
                <c:pt idx="3">
                  <c:v>-24</c:v>
                </c:pt>
                <c:pt idx="7">
                  <c:v>-11</c:v>
                </c:pt>
                <c:pt idx="8">
                  <c:v>-24</c:v>
                </c:pt>
              </c:numCache>
            </c:numRef>
          </c:val>
        </c:ser>
        <c:ser>
          <c:idx val="3"/>
          <c:order val="1"/>
          <c:tx>
            <c:strRef>
              <c:f>Sheet1!$D$3</c:f>
              <c:strCache>
                <c:ptCount val="1"/>
                <c:pt idx="0">
                  <c:v>Building level RE</c:v>
                </c:pt>
              </c:strCache>
            </c:strRef>
          </c:tx>
          <c:spPr>
            <a:solidFill>
              <a:schemeClr val="accent3">
                <a:lumMod val="60000"/>
                <a:lumOff val="40000"/>
              </a:schemeClr>
            </a:solidFill>
            <a:ln>
              <a:solidFill>
                <a:schemeClr val="accent3">
                  <a:lumMod val="75000"/>
                </a:schemeClr>
              </a:solidFill>
            </a:ln>
          </c:spPr>
          <c:invertIfNegative val="0"/>
          <c:val>
            <c:numRef>
              <c:f>Sheet1!$D$4:$D$13</c:f>
              <c:numCache>
                <c:formatCode>General</c:formatCode>
                <c:ptCount val="10"/>
                <c:pt idx="1">
                  <c:v>-2</c:v>
                </c:pt>
                <c:pt idx="6">
                  <c:v>-2</c:v>
                </c:pt>
              </c:numCache>
            </c:numRef>
          </c:val>
        </c:ser>
        <c:ser>
          <c:idx val="1"/>
          <c:order val="2"/>
          <c:tx>
            <c:strRef>
              <c:f>Sheet1!$E$3</c:f>
              <c:strCache>
                <c:ptCount val="1"/>
                <c:pt idx="0">
                  <c:v>Regulated energy use</c:v>
                </c:pt>
              </c:strCache>
            </c:strRef>
          </c:tx>
          <c:spPr>
            <a:solidFill>
              <a:schemeClr val="tx1"/>
            </a:solidFill>
          </c:spPr>
          <c:invertIfNegative val="0"/>
          <c:dLbls>
            <c:txPr>
              <a:bodyPr/>
              <a:lstStyle/>
              <a:p>
                <a:pPr>
                  <a:defRPr b="1">
                    <a:solidFill>
                      <a:schemeClr val="bg1"/>
                    </a:solidFill>
                  </a:defRPr>
                </a:pPr>
                <a:endParaRPr lang="en-US"/>
              </a:p>
            </c:txPr>
            <c:showLegendKey val="0"/>
            <c:showVal val="1"/>
            <c:showCatName val="0"/>
            <c:showSerName val="0"/>
            <c:showPercent val="0"/>
            <c:showBubbleSize val="0"/>
            <c:showLeaderLines val="0"/>
          </c:dLbls>
          <c:cat>
            <c:multiLvlStrRef>
              <c:f>Sheet1!$A$4:$B$13</c:f>
              <c:multiLvlStrCache>
                <c:ptCount val="10"/>
                <c:lvl>
                  <c:pt idx="0">
                    <c:v>Adv. Ins.</c:v>
                  </c:pt>
                  <c:pt idx="1">
                    <c:v>biPV</c:v>
                  </c:pt>
                  <c:pt idx="2">
                    <c:v>CHP</c:v>
                  </c:pt>
                  <c:pt idx="3">
                    <c:v>WindPV</c:v>
                  </c:pt>
                  <c:pt idx="4">
                    <c:v>BEMS</c:v>
                  </c:pt>
                  <c:pt idx="5">
                    <c:v>Adv. Ins.</c:v>
                  </c:pt>
                  <c:pt idx="6">
                    <c:v>biPV</c:v>
                  </c:pt>
                  <c:pt idx="7">
                    <c:v>CHP</c:v>
                  </c:pt>
                  <c:pt idx="8">
                    <c:v>WindPV</c:v>
                  </c:pt>
                  <c:pt idx="9">
                    <c:v>BEMS</c:v>
                  </c:pt>
                </c:lvl>
                <c:lvl>
                  <c:pt idx="0">
                    <c:v>Dwelling A</c:v>
                  </c:pt>
                  <c:pt idx="5">
                    <c:v>Dwelling B</c:v>
                  </c:pt>
                </c:lvl>
              </c:multiLvlStrCache>
            </c:multiLvlStrRef>
          </c:cat>
          <c:val>
            <c:numRef>
              <c:f>Sheet1!$E$4:$E$13</c:f>
              <c:numCache>
                <c:formatCode>0</c:formatCode>
                <c:ptCount val="10"/>
                <c:pt idx="0">
                  <c:v>49</c:v>
                </c:pt>
                <c:pt idx="1">
                  <c:v>63</c:v>
                </c:pt>
                <c:pt idx="2">
                  <c:v>52</c:v>
                </c:pt>
                <c:pt idx="3">
                  <c:v>63</c:v>
                </c:pt>
                <c:pt idx="4">
                  <c:v>60.576923076923073</c:v>
                </c:pt>
                <c:pt idx="5" formatCode="General">
                  <c:v>45</c:v>
                </c:pt>
                <c:pt idx="6">
                  <c:v>56</c:v>
                </c:pt>
                <c:pt idx="7">
                  <c:v>49</c:v>
                </c:pt>
                <c:pt idx="8" formatCode="General">
                  <c:v>56</c:v>
                </c:pt>
                <c:pt idx="9">
                  <c:v>53.846153846153847</c:v>
                </c:pt>
              </c:numCache>
            </c:numRef>
          </c:val>
        </c:ser>
        <c:ser>
          <c:idx val="2"/>
          <c:order val="3"/>
          <c:tx>
            <c:strRef>
              <c:f>Sheet1!$F$3</c:f>
              <c:strCache>
                <c:ptCount val="1"/>
                <c:pt idx="0">
                  <c:v>Reduction from Baseline+</c:v>
                </c:pt>
              </c:strCache>
            </c:strRef>
          </c:tx>
          <c:spPr>
            <a:pattFill prst="pct30">
              <a:fgClr>
                <a:schemeClr val="tx1"/>
              </a:fgClr>
              <a:bgClr>
                <a:schemeClr val="bg1"/>
              </a:bgClr>
            </a:pattFill>
          </c:spPr>
          <c:invertIfNegative val="0"/>
          <c:dPt>
            <c:idx val="1"/>
            <c:invertIfNegative val="0"/>
            <c:bubble3D val="0"/>
            <c:spPr>
              <a:pattFill prst="pct30">
                <a:fgClr>
                  <a:schemeClr val="tx1"/>
                </a:fgClr>
                <a:bgClr>
                  <a:schemeClr val="bg1"/>
                </a:bgClr>
              </a:pattFill>
              <a:ln w="25400">
                <a:solidFill>
                  <a:schemeClr val="tx1"/>
                </a:solidFill>
                <a:prstDash val="dash"/>
              </a:ln>
            </c:spPr>
          </c:dPt>
          <c:dPt>
            <c:idx val="6"/>
            <c:invertIfNegative val="0"/>
            <c:bubble3D val="0"/>
            <c:spPr>
              <a:pattFill prst="pct30">
                <a:fgClr>
                  <a:schemeClr val="tx1"/>
                </a:fgClr>
                <a:bgClr>
                  <a:schemeClr val="bg1"/>
                </a:bgClr>
              </a:pattFill>
              <a:ln w="25400">
                <a:solidFill>
                  <a:schemeClr val="tx1"/>
                </a:solidFill>
                <a:prstDash val="dash"/>
              </a:ln>
            </c:spPr>
          </c:dPt>
          <c:dLbls>
            <c:dLbl>
              <c:idx val="1"/>
              <c:layout>
                <c:manualLayout>
                  <c:x val="3.9585676842344417E-2"/>
                  <c:y val="-3.9185185185185182E-3"/>
                </c:manualLayout>
              </c:layout>
              <c:tx>
                <c:rich>
                  <a:bodyPr/>
                  <a:lstStyle/>
                  <a:p>
                    <a:pPr>
                      <a:defRPr b="1">
                        <a:solidFill>
                          <a:schemeClr val="bg1"/>
                        </a:solidFill>
                      </a:defRPr>
                    </a:pPr>
                    <a:r>
                      <a:rPr lang="en-US" b="1">
                        <a:solidFill>
                          <a:sysClr val="windowText" lastClr="000000"/>
                        </a:solidFill>
                      </a:rPr>
                      <a:t>+3</a:t>
                    </a:r>
                  </a:p>
                </c:rich>
              </c:tx>
              <c:spPr/>
              <c:showLegendKey val="0"/>
              <c:showVal val="1"/>
              <c:showCatName val="0"/>
              <c:showSerName val="0"/>
              <c:showPercent val="0"/>
              <c:showBubbleSize val="0"/>
            </c:dLbl>
            <c:dLbl>
              <c:idx val="5"/>
              <c:spPr/>
              <c:txPr>
                <a:bodyPr/>
                <a:lstStyle/>
                <a:p>
                  <a:pPr>
                    <a:defRPr b="1">
                      <a:solidFill>
                        <a:sysClr val="windowText" lastClr="000000"/>
                      </a:solidFill>
                    </a:defRPr>
                  </a:pPr>
                  <a:endParaRPr lang="en-US"/>
                </a:p>
              </c:txPr>
              <c:showLegendKey val="0"/>
              <c:showVal val="1"/>
              <c:showCatName val="0"/>
              <c:showSerName val="0"/>
              <c:showPercent val="0"/>
              <c:showBubbleSize val="0"/>
            </c:dLbl>
            <c:dLbl>
              <c:idx val="6"/>
              <c:layout>
                <c:manualLayout>
                  <c:x val="3.2988064035287014E-2"/>
                  <c:y val="-3.9191358024691361E-3"/>
                </c:manualLayout>
              </c:layout>
              <c:tx>
                <c:rich>
                  <a:bodyPr/>
                  <a:lstStyle/>
                  <a:p>
                    <a:pPr>
                      <a:defRPr b="1">
                        <a:solidFill>
                          <a:schemeClr val="bg1"/>
                        </a:solidFill>
                      </a:defRPr>
                    </a:pPr>
                    <a:r>
                      <a:rPr lang="en-US" b="1">
                        <a:solidFill>
                          <a:sysClr val="windowText" lastClr="000000"/>
                        </a:solidFill>
                      </a:rPr>
                      <a:t>+3</a:t>
                    </a:r>
                    <a:endParaRPr lang="en-US">
                      <a:solidFill>
                        <a:sysClr val="windowText" lastClr="000000"/>
                      </a:solidFill>
                    </a:endParaRPr>
                  </a:p>
                </c:rich>
              </c:tx>
              <c:spPr/>
              <c:showLegendKey val="0"/>
              <c:showVal val="1"/>
              <c:showCatName val="0"/>
              <c:showSerName val="0"/>
              <c:showPercent val="0"/>
              <c:showBubbleSize val="0"/>
            </c:dLbl>
            <c:txPr>
              <a:bodyPr/>
              <a:lstStyle/>
              <a:p>
                <a:pPr>
                  <a:defRPr b="1"/>
                </a:pPr>
                <a:endParaRPr lang="en-US"/>
              </a:p>
            </c:txPr>
            <c:showLegendKey val="0"/>
            <c:showVal val="1"/>
            <c:showCatName val="0"/>
            <c:showSerName val="0"/>
            <c:showPercent val="0"/>
            <c:showBubbleSize val="0"/>
            <c:showLeaderLines val="0"/>
          </c:dLbls>
          <c:cat>
            <c:multiLvlStrRef>
              <c:f>Sheet1!$A$4:$B$13</c:f>
              <c:multiLvlStrCache>
                <c:ptCount val="10"/>
                <c:lvl>
                  <c:pt idx="0">
                    <c:v>Adv. Ins.</c:v>
                  </c:pt>
                  <c:pt idx="1">
                    <c:v>biPV</c:v>
                  </c:pt>
                  <c:pt idx="2">
                    <c:v>CHP</c:v>
                  </c:pt>
                  <c:pt idx="3">
                    <c:v>WindPV</c:v>
                  </c:pt>
                  <c:pt idx="4">
                    <c:v>BEMS</c:v>
                  </c:pt>
                  <c:pt idx="5">
                    <c:v>Adv. Ins.</c:v>
                  </c:pt>
                  <c:pt idx="6">
                    <c:v>biPV</c:v>
                  </c:pt>
                  <c:pt idx="7">
                    <c:v>CHP</c:v>
                  </c:pt>
                  <c:pt idx="8">
                    <c:v>WindPV</c:v>
                  </c:pt>
                  <c:pt idx="9">
                    <c:v>BEMS</c:v>
                  </c:pt>
                </c:lvl>
                <c:lvl>
                  <c:pt idx="0">
                    <c:v>Dwelling A</c:v>
                  </c:pt>
                  <c:pt idx="5">
                    <c:v>Dwelling B</c:v>
                  </c:pt>
                </c:lvl>
              </c:multiLvlStrCache>
            </c:multiLvlStrRef>
          </c:cat>
          <c:val>
            <c:numRef>
              <c:f>Sheet1!$F$4:$F$13</c:f>
              <c:numCache>
                <c:formatCode>0</c:formatCode>
                <c:ptCount val="10"/>
                <c:pt idx="0">
                  <c:v>14</c:v>
                </c:pt>
                <c:pt idx="1">
                  <c:v>3</c:v>
                </c:pt>
                <c:pt idx="2">
                  <c:v>11</c:v>
                </c:pt>
                <c:pt idx="4">
                  <c:v>2.4230769230769269</c:v>
                </c:pt>
                <c:pt idx="5">
                  <c:v>11</c:v>
                </c:pt>
                <c:pt idx="6">
                  <c:v>3</c:v>
                </c:pt>
                <c:pt idx="7">
                  <c:v>7</c:v>
                </c:pt>
                <c:pt idx="9">
                  <c:v>2.1538461538461533</c:v>
                </c:pt>
              </c:numCache>
            </c:numRef>
          </c:val>
        </c:ser>
        <c:dLbls>
          <c:showLegendKey val="0"/>
          <c:showVal val="1"/>
          <c:showCatName val="0"/>
          <c:showSerName val="0"/>
          <c:showPercent val="0"/>
          <c:showBubbleSize val="0"/>
        </c:dLbls>
        <c:gapWidth val="50"/>
        <c:overlap val="100"/>
        <c:axId val="63059072"/>
        <c:axId val="63060608"/>
      </c:barChart>
      <c:catAx>
        <c:axId val="63059072"/>
        <c:scaling>
          <c:orientation val="maxMin"/>
        </c:scaling>
        <c:delete val="0"/>
        <c:axPos val="l"/>
        <c:majorTickMark val="out"/>
        <c:minorTickMark val="none"/>
        <c:tickLblPos val="low"/>
        <c:crossAx val="63060608"/>
        <c:crosses val="autoZero"/>
        <c:auto val="1"/>
        <c:lblAlgn val="ctr"/>
        <c:lblOffset val="100"/>
        <c:tickLblSkip val="1"/>
        <c:tickMarkSkip val="1"/>
        <c:noMultiLvlLbl val="0"/>
      </c:catAx>
      <c:valAx>
        <c:axId val="63060608"/>
        <c:scaling>
          <c:orientation val="minMax"/>
          <c:max val="70"/>
          <c:min val="-30"/>
        </c:scaling>
        <c:delete val="0"/>
        <c:axPos val="b"/>
        <c:majorGridlines/>
        <c:title>
          <c:tx>
            <c:rich>
              <a:bodyPr/>
              <a:lstStyle/>
              <a:p>
                <a:pPr>
                  <a:defRPr/>
                </a:pPr>
                <a:r>
                  <a:rPr lang="en-US"/>
                  <a:t>kWh/m</a:t>
                </a:r>
                <a:r>
                  <a:rPr lang="en-US" baseline="30000"/>
                  <a:t>2</a:t>
                </a:r>
                <a:r>
                  <a:rPr lang="en-US"/>
                  <a:t>/yr</a:t>
                </a:r>
              </a:p>
            </c:rich>
          </c:tx>
          <c:overlay val="0"/>
        </c:title>
        <c:numFmt formatCode="General" sourceLinked="1"/>
        <c:majorTickMark val="out"/>
        <c:minorTickMark val="none"/>
        <c:tickLblPos val="nextTo"/>
        <c:crossAx val="63059072"/>
        <c:crosses val="max"/>
        <c:crossBetween val="between"/>
        <c:majorUnit val="10"/>
      </c:valAx>
    </c:plotArea>
    <c:legend>
      <c:legendPos val="b"/>
      <c:overlay val="0"/>
    </c:legend>
    <c:plotVisOnly val="1"/>
    <c:dispBlanksAs val="gap"/>
    <c:showDLblsOverMax val="0"/>
  </c:chart>
  <c:spPr>
    <a:ln>
      <a:noFill/>
    </a:ln>
  </c:spPr>
  <c:txPr>
    <a:bodyPr/>
    <a:lstStyle/>
    <a:p>
      <a:pPr>
        <a:defRPr sz="10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Final net</a:t>
            </a:r>
            <a:r>
              <a:rPr lang="en-US" baseline="0"/>
              <a:t> zero modelling figures</a:t>
            </a:r>
            <a:endParaRPr lang="en-US"/>
          </a:p>
        </c:rich>
      </c:tx>
      <c:overlay val="0"/>
    </c:title>
    <c:autoTitleDeleted val="0"/>
    <c:plotArea>
      <c:layout/>
      <c:barChart>
        <c:barDir val="bar"/>
        <c:grouping val="stacked"/>
        <c:varyColors val="0"/>
        <c:ser>
          <c:idx val="2"/>
          <c:order val="0"/>
          <c:tx>
            <c:strRef>
              <c:f>Sheet3!$C$40</c:f>
              <c:strCache>
                <c:ptCount val="1"/>
                <c:pt idx="0">
                  <c:v>Building integrated RE</c:v>
                </c:pt>
              </c:strCache>
            </c:strRef>
          </c:tx>
          <c:spPr>
            <a:solidFill>
              <a:schemeClr val="bg1">
                <a:lumMod val="85000"/>
              </a:schemeClr>
            </a:solidFill>
            <a:ln>
              <a:solidFill>
                <a:sysClr val="windowText" lastClr="000000"/>
              </a:solidFill>
            </a:ln>
          </c:spPr>
          <c:invertIfNegative val="0"/>
          <c:dLbls>
            <c:showLegendKey val="0"/>
            <c:showVal val="1"/>
            <c:showCatName val="0"/>
            <c:showSerName val="0"/>
            <c:showPercent val="0"/>
            <c:showBubbleSize val="0"/>
            <c:showLeaderLines val="0"/>
          </c:dLbls>
          <c:val>
            <c:numRef>
              <c:f>Sheet3!$C$41:$C$44</c:f>
              <c:numCache>
                <c:formatCode>General</c:formatCode>
                <c:ptCount val="4"/>
                <c:pt idx="1">
                  <c:v>-20</c:v>
                </c:pt>
                <c:pt idx="3">
                  <c:v>-13</c:v>
                </c:pt>
              </c:numCache>
            </c:numRef>
          </c:val>
        </c:ser>
        <c:ser>
          <c:idx val="3"/>
          <c:order val="1"/>
          <c:tx>
            <c:strRef>
              <c:f>Sheet3!$D$40</c:f>
              <c:strCache>
                <c:ptCount val="1"/>
                <c:pt idx="0">
                  <c:v>Community RE</c:v>
                </c:pt>
              </c:strCache>
            </c:strRef>
          </c:tx>
          <c:spPr>
            <a:solidFill>
              <a:schemeClr val="bg1">
                <a:lumMod val="75000"/>
              </a:schemeClr>
            </a:solidFill>
          </c:spPr>
          <c:invertIfNegative val="0"/>
          <c:dLbls>
            <c:showLegendKey val="0"/>
            <c:showVal val="1"/>
            <c:showCatName val="0"/>
            <c:showSerName val="0"/>
            <c:showPercent val="0"/>
            <c:showBubbleSize val="0"/>
            <c:showLeaderLines val="0"/>
          </c:dLbls>
          <c:val>
            <c:numRef>
              <c:f>Sheet3!$D$41:$D$44</c:f>
              <c:numCache>
                <c:formatCode>General</c:formatCode>
                <c:ptCount val="4"/>
                <c:pt idx="1">
                  <c:v>-30</c:v>
                </c:pt>
                <c:pt idx="3">
                  <c:v>-37</c:v>
                </c:pt>
              </c:numCache>
            </c:numRef>
          </c:val>
        </c:ser>
        <c:ser>
          <c:idx val="0"/>
          <c:order val="2"/>
          <c:tx>
            <c:strRef>
              <c:f>Sheet3!$E$40</c:f>
              <c:strCache>
                <c:ptCount val="1"/>
                <c:pt idx="0">
                  <c:v>Net regulated energy</c:v>
                </c:pt>
              </c:strCache>
            </c:strRef>
          </c:tx>
          <c:spPr>
            <a:solidFill>
              <a:schemeClr val="bg1"/>
            </a:solidFill>
            <a:ln w="19050">
              <a:solidFill>
                <a:schemeClr val="tx1"/>
              </a:solidFill>
              <a:prstDash val="sysDash"/>
            </a:ln>
          </c:spPr>
          <c:invertIfNegative val="0"/>
          <c:dLbls>
            <c:dLbl>
              <c:idx val="0"/>
              <c:dLblPos val="ctr"/>
              <c:showLegendKey val="0"/>
              <c:showVal val="1"/>
              <c:showCatName val="0"/>
              <c:showSerName val="0"/>
              <c:showPercent val="0"/>
              <c:showBubbleSize val="0"/>
            </c:dLbl>
            <c:dLbl>
              <c:idx val="1"/>
              <c:layout>
                <c:manualLayout>
                  <c:x val="-2.4242424242424301E-2"/>
                  <c:y val="0"/>
                </c:manualLayout>
              </c:layout>
              <c:dLblPos val="ctr"/>
              <c:showLegendKey val="0"/>
              <c:showVal val="1"/>
              <c:showCatName val="0"/>
              <c:showSerName val="0"/>
              <c:showPercent val="0"/>
              <c:showBubbleSize val="0"/>
            </c:dLbl>
            <c:dLbl>
              <c:idx val="2"/>
              <c:dLblPos val="ctr"/>
              <c:showLegendKey val="0"/>
              <c:showVal val="1"/>
              <c:showCatName val="0"/>
              <c:showSerName val="0"/>
              <c:showPercent val="0"/>
              <c:showBubbleSize val="0"/>
            </c:dLbl>
            <c:dLbl>
              <c:idx val="3"/>
              <c:layout>
                <c:manualLayout>
                  <c:x val="-1.3668783068783068E-2"/>
                  <c:y val="-2.0641025641025641E-4"/>
                </c:manualLayout>
              </c:layout>
              <c:dLblPos val="ctr"/>
              <c:showLegendKey val="0"/>
              <c:showVal val="1"/>
              <c:showCatName val="0"/>
              <c:showSerName val="0"/>
              <c:showPercent val="0"/>
              <c:showBubbleSize val="0"/>
            </c:dLbl>
            <c:dLbl>
              <c:idx val="4"/>
              <c:dLblPos val="ctr"/>
              <c:showLegendKey val="0"/>
              <c:showVal val="1"/>
              <c:showCatName val="0"/>
              <c:showSerName val="0"/>
              <c:showPercent val="0"/>
              <c:showBubbleSize val="0"/>
            </c:dLbl>
            <c:dLbl>
              <c:idx val="5"/>
              <c:dLblPos val="ctr"/>
              <c:showLegendKey val="0"/>
              <c:showVal val="1"/>
              <c:showCatName val="0"/>
              <c:showSerName val="0"/>
              <c:showPercent val="0"/>
              <c:showBubbleSize val="0"/>
            </c:dLbl>
            <c:dLbl>
              <c:idx val="6"/>
              <c:dLblPos val="ctr"/>
              <c:showLegendKey val="0"/>
              <c:showVal val="1"/>
              <c:showCatName val="0"/>
              <c:showSerName val="0"/>
              <c:showPercent val="0"/>
              <c:showBubbleSize val="0"/>
            </c:dLbl>
            <c:dLbl>
              <c:idx val="7"/>
              <c:dLblPos val="ctr"/>
              <c:showLegendKey val="0"/>
              <c:showVal val="1"/>
              <c:showCatName val="0"/>
              <c:showSerName val="0"/>
              <c:showPercent val="0"/>
              <c:showBubbleSize val="0"/>
            </c:dLbl>
            <c:dLbl>
              <c:idx val="8"/>
              <c:dLblPos val="ctr"/>
              <c:showLegendKey val="0"/>
              <c:showVal val="1"/>
              <c:showCatName val="0"/>
              <c:showSerName val="0"/>
              <c:showPercent val="0"/>
              <c:showBubbleSize val="0"/>
            </c:dLbl>
            <c:dLbl>
              <c:idx val="9"/>
              <c:dLblPos val="ctr"/>
              <c:showLegendKey val="0"/>
              <c:showVal val="1"/>
              <c:showCatName val="0"/>
              <c:showSerName val="0"/>
              <c:showPercent val="0"/>
              <c:showBubbleSize val="0"/>
            </c:dLbl>
            <c:dLbl>
              <c:idx val="10"/>
              <c:dLblPos val="ctr"/>
              <c:showLegendKey val="0"/>
              <c:showVal val="1"/>
              <c:showCatName val="0"/>
              <c:showSerName val="0"/>
              <c:showPercent val="0"/>
              <c:showBubbleSize val="0"/>
            </c:dLbl>
            <c:dLbl>
              <c:idx val="11"/>
              <c:dLblPos val="ctr"/>
              <c:showLegendKey val="0"/>
              <c:showVal val="1"/>
              <c:showCatName val="0"/>
              <c:showSerName val="0"/>
              <c:showPercent val="0"/>
              <c:showBubbleSize val="0"/>
            </c:dLbl>
            <c:dLbl>
              <c:idx val="12"/>
              <c:dLblPos val="ctr"/>
              <c:showLegendKey val="0"/>
              <c:showVal val="1"/>
              <c:showCatName val="0"/>
              <c:showSerName val="0"/>
              <c:showPercent val="0"/>
              <c:showBubbleSize val="0"/>
            </c:dLbl>
            <c:dLbl>
              <c:idx val="13"/>
              <c:dLblPos val="ctr"/>
              <c:showLegendKey val="0"/>
              <c:showVal val="1"/>
              <c:showCatName val="0"/>
              <c:showSerName val="0"/>
              <c:showPercent val="0"/>
              <c:showBubbleSize val="0"/>
            </c:dLbl>
            <c:dLbl>
              <c:idx val="14"/>
              <c:dLblPos val="ctr"/>
              <c:showLegendKey val="0"/>
              <c:showVal val="1"/>
              <c:showCatName val="0"/>
              <c:showSerName val="0"/>
              <c:showPercent val="0"/>
              <c:showBubbleSize val="0"/>
            </c:dLbl>
            <c:dLbl>
              <c:idx val="15"/>
              <c:dLblPos val="ctr"/>
              <c:showLegendKey val="0"/>
              <c:showVal val="1"/>
              <c:showCatName val="0"/>
              <c:showSerName val="0"/>
              <c:showPercent val="0"/>
              <c:showBubbleSize val="0"/>
            </c:dLbl>
            <c:showLegendKey val="0"/>
            <c:showVal val="0"/>
            <c:showCatName val="0"/>
            <c:showSerName val="0"/>
            <c:showPercent val="0"/>
            <c:showBubbleSize val="0"/>
          </c:dLbls>
          <c:cat>
            <c:multiLvlStrRef>
              <c:f>Sheet3!$A$41:$B$44</c:f>
              <c:multiLvlStrCache>
                <c:ptCount val="4"/>
                <c:lvl>
                  <c:pt idx="0">
                    <c:v>Regulated energy</c:v>
                  </c:pt>
                  <c:pt idx="1">
                    <c:v>RE</c:v>
                  </c:pt>
                  <c:pt idx="2">
                    <c:v>Regulated energy</c:v>
                  </c:pt>
                  <c:pt idx="3">
                    <c:v>RE</c:v>
                  </c:pt>
                </c:lvl>
                <c:lvl>
                  <c:pt idx="0">
                    <c:v>Dwelling A</c:v>
                  </c:pt>
                  <c:pt idx="2">
                    <c:v>Dwelling B</c:v>
                  </c:pt>
                </c:lvl>
              </c:multiLvlStrCache>
            </c:multiLvlStrRef>
          </c:cat>
          <c:val>
            <c:numRef>
              <c:f>Sheet3!$E$41:$E$44</c:f>
              <c:numCache>
                <c:formatCode>General</c:formatCode>
                <c:ptCount val="4"/>
                <c:pt idx="0">
                  <c:v>-3</c:v>
                </c:pt>
                <c:pt idx="2">
                  <c:v>-7</c:v>
                </c:pt>
              </c:numCache>
            </c:numRef>
          </c:val>
        </c:ser>
        <c:ser>
          <c:idx val="1"/>
          <c:order val="3"/>
          <c:tx>
            <c:strRef>
              <c:f>Sheet3!$F$40</c:f>
              <c:strCache>
                <c:ptCount val="1"/>
                <c:pt idx="0">
                  <c:v>Regulated energy use</c:v>
                </c:pt>
              </c:strCache>
            </c:strRef>
          </c:tx>
          <c:spPr>
            <a:solidFill>
              <a:schemeClr val="tx1"/>
            </a:solidFill>
          </c:spPr>
          <c:invertIfNegative val="0"/>
          <c:dLbls>
            <c:txPr>
              <a:bodyPr/>
              <a:lstStyle/>
              <a:p>
                <a:pPr>
                  <a:defRPr b="1">
                    <a:solidFill>
                      <a:schemeClr val="bg1"/>
                    </a:solidFill>
                  </a:defRPr>
                </a:pPr>
                <a:endParaRPr lang="en-US"/>
              </a:p>
            </c:txPr>
            <c:showLegendKey val="0"/>
            <c:showVal val="1"/>
            <c:showCatName val="0"/>
            <c:showSerName val="0"/>
            <c:showPercent val="0"/>
            <c:showBubbleSize val="0"/>
            <c:showLeaderLines val="0"/>
          </c:dLbls>
          <c:cat>
            <c:multiLvlStrRef>
              <c:f>Sheet3!$A$41:$B$44</c:f>
              <c:multiLvlStrCache>
                <c:ptCount val="4"/>
                <c:lvl>
                  <c:pt idx="0">
                    <c:v>Regulated energy</c:v>
                  </c:pt>
                  <c:pt idx="1">
                    <c:v>RE</c:v>
                  </c:pt>
                  <c:pt idx="2">
                    <c:v>Regulated energy</c:v>
                  </c:pt>
                  <c:pt idx="3">
                    <c:v>RE</c:v>
                  </c:pt>
                </c:lvl>
                <c:lvl>
                  <c:pt idx="0">
                    <c:v>Dwelling A</c:v>
                  </c:pt>
                  <c:pt idx="2">
                    <c:v>Dwelling B</c:v>
                  </c:pt>
                </c:lvl>
              </c:multiLvlStrCache>
            </c:multiLvlStrRef>
          </c:cat>
          <c:val>
            <c:numRef>
              <c:f>Sheet3!$F$41:$F$44</c:f>
              <c:numCache>
                <c:formatCode>General</c:formatCode>
                <c:ptCount val="4"/>
                <c:pt idx="0">
                  <c:v>47</c:v>
                </c:pt>
                <c:pt idx="2">
                  <c:v>43</c:v>
                </c:pt>
              </c:numCache>
            </c:numRef>
          </c:val>
        </c:ser>
        <c:dLbls>
          <c:showLegendKey val="0"/>
          <c:showVal val="0"/>
          <c:showCatName val="0"/>
          <c:showSerName val="0"/>
          <c:showPercent val="0"/>
          <c:showBubbleSize val="0"/>
        </c:dLbls>
        <c:gapWidth val="50"/>
        <c:overlap val="100"/>
        <c:axId val="63104512"/>
        <c:axId val="63107456"/>
      </c:barChart>
      <c:catAx>
        <c:axId val="63104512"/>
        <c:scaling>
          <c:orientation val="maxMin"/>
        </c:scaling>
        <c:delete val="0"/>
        <c:axPos val="l"/>
        <c:majorTickMark val="out"/>
        <c:minorTickMark val="none"/>
        <c:tickLblPos val="low"/>
        <c:crossAx val="63107456"/>
        <c:crosses val="autoZero"/>
        <c:auto val="1"/>
        <c:lblAlgn val="ctr"/>
        <c:lblOffset val="100"/>
        <c:tickLblSkip val="2"/>
        <c:tickMarkSkip val="1"/>
        <c:noMultiLvlLbl val="0"/>
      </c:catAx>
      <c:valAx>
        <c:axId val="63107456"/>
        <c:scaling>
          <c:orientation val="minMax"/>
          <c:max val="50"/>
          <c:min val="-60"/>
        </c:scaling>
        <c:delete val="0"/>
        <c:axPos val="b"/>
        <c:majorGridlines/>
        <c:title>
          <c:tx>
            <c:rich>
              <a:bodyPr/>
              <a:lstStyle/>
              <a:p>
                <a:pPr>
                  <a:defRPr/>
                </a:pPr>
                <a:r>
                  <a:rPr lang="en-US"/>
                  <a:t>kWh/m</a:t>
                </a:r>
                <a:r>
                  <a:rPr lang="en-US" baseline="30000"/>
                  <a:t>2</a:t>
                </a:r>
                <a:r>
                  <a:rPr lang="en-US"/>
                  <a:t>/yr</a:t>
                </a:r>
              </a:p>
            </c:rich>
          </c:tx>
          <c:overlay val="0"/>
        </c:title>
        <c:numFmt formatCode="General" sourceLinked="1"/>
        <c:majorTickMark val="out"/>
        <c:minorTickMark val="none"/>
        <c:tickLblPos val="nextTo"/>
        <c:crossAx val="63104512"/>
        <c:crosses val="max"/>
        <c:crossBetween val="between"/>
        <c:majorUnit val="10"/>
      </c:valAx>
    </c:plotArea>
    <c:legend>
      <c:legendPos val="b"/>
      <c:overlay val="0"/>
    </c:legend>
    <c:plotVisOnly val="1"/>
    <c:dispBlanksAs val="gap"/>
    <c:showDLblsOverMax val="0"/>
  </c:chart>
  <c:spPr>
    <a:ln>
      <a:noFill/>
    </a:ln>
  </c:spPr>
  <c:txPr>
    <a:bodyPr/>
    <a:lstStyle/>
    <a:p>
      <a:pPr>
        <a:defRPr sz="1000">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0.64366</cdr:x>
      <cdr:y>0.13618</cdr:y>
    </cdr:from>
    <cdr:to>
      <cdr:x>0.64366</cdr:x>
      <cdr:y>0.6641</cdr:y>
    </cdr:to>
    <cdr:cxnSp macro="">
      <cdr:nvCxnSpPr>
        <cdr:cNvPr id="3" name="Straight Connector 2"/>
        <cdr:cNvCxnSpPr/>
      </cdr:nvCxnSpPr>
      <cdr:spPr>
        <a:xfrm xmlns:a="http://schemas.openxmlformats.org/drawingml/2006/main" flipV="1">
          <a:off x="3707477" y="333376"/>
          <a:ext cx="0" cy="1292337"/>
        </a:xfrm>
        <a:prstGeom xmlns:a="http://schemas.openxmlformats.org/drawingml/2006/main" prst="line">
          <a:avLst/>
        </a:prstGeom>
        <a:ln xmlns:a="http://schemas.openxmlformats.org/drawingml/2006/main" w="38100">
          <a:solidFill>
            <a:schemeClr val="accent6"/>
          </a:solidFill>
          <a:prstDash val="sysDash"/>
        </a:ln>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0.32435</cdr:x>
      <cdr:y>0.13618</cdr:y>
    </cdr:from>
    <cdr:to>
      <cdr:x>0.32435</cdr:x>
      <cdr:y>0.68132</cdr:y>
    </cdr:to>
    <cdr:cxnSp macro="">
      <cdr:nvCxnSpPr>
        <cdr:cNvPr id="4" name="Straight Connector 3"/>
        <cdr:cNvCxnSpPr/>
      </cdr:nvCxnSpPr>
      <cdr:spPr>
        <a:xfrm xmlns:a="http://schemas.openxmlformats.org/drawingml/2006/main">
          <a:off x="1868283" y="333376"/>
          <a:ext cx="1" cy="1334495"/>
        </a:xfrm>
        <a:prstGeom xmlns:a="http://schemas.openxmlformats.org/drawingml/2006/main" prst="line">
          <a:avLst/>
        </a:prstGeom>
        <a:ln xmlns:a="http://schemas.openxmlformats.org/drawingml/2006/main" w="38100">
          <a:solidFill>
            <a:schemeClr val="accent3">
              <a:lumMod val="50000"/>
            </a:schemeClr>
          </a:solidFill>
          <a:prstDash val="sysDash"/>
        </a:ln>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D80F4-2372-4282-8E58-4B5EC825E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11053</Words>
  <Characters>63004</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Oxford Brooke University</Company>
  <LinksUpToDate>false</LinksUpToDate>
  <CharactersWithSpaces>73910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Gregg</dc:creator>
  <cp:lastModifiedBy>Rajat Gupta</cp:lastModifiedBy>
  <cp:revision>5</cp:revision>
  <dcterms:created xsi:type="dcterms:W3CDTF">2017-10-16T17:43:00Z</dcterms:created>
  <dcterms:modified xsi:type="dcterms:W3CDTF">2017-10-18T16:50:00Z</dcterms:modified>
</cp:coreProperties>
</file>